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8C" w:rsidRDefault="00AA0E8C" w:rsidP="00AA0E8C">
      <w:pPr>
        <w:pStyle w:val="ConsPlusNormal"/>
        <w:ind w:firstLine="540"/>
        <w:jc w:val="both"/>
      </w:pPr>
    </w:p>
    <w:p w:rsidR="00AA0E8C" w:rsidRDefault="00AA0E8C" w:rsidP="00AA0E8C">
      <w:pPr>
        <w:pStyle w:val="ConsPlusNormal"/>
        <w:jc w:val="right"/>
        <w:outlineLvl w:val="1"/>
      </w:pPr>
      <w:r>
        <w:t>Приложение N 4</w:t>
      </w:r>
    </w:p>
    <w:p w:rsidR="00AA0E8C" w:rsidRDefault="00AA0E8C" w:rsidP="00AA0E8C">
      <w:pPr>
        <w:pStyle w:val="ConsPlusNormal"/>
        <w:jc w:val="right"/>
      </w:pPr>
      <w:r>
        <w:t>к Положению об установлении</w:t>
      </w:r>
    </w:p>
    <w:p w:rsidR="00AA0E8C" w:rsidRDefault="00AA0E8C" w:rsidP="00AA0E8C">
      <w:pPr>
        <w:pStyle w:val="ConsPlusNormal"/>
        <w:jc w:val="right"/>
      </w:pPr>
      <w:r>
        <w:t xml:space="preserve">и </w:t>
      </w:r>
      <w:proofErr w:type="gramStart"/>
      <w:r>
        <w:t>применении</w:t>
      </w:r>
      <w:proofErr w:type="gramEnd"/>
      <w:r>
        <w:t xml:space="preserve"> социальной нормы</w:t>
      </w:r>
    </w:p>
    <w:p w:rsidR="00AA0E8C" w:rsidRDefault="00AA0E8C" w:rsidP="00AA0E8C">
      <w:pPr>
        <w:pStyle w:val="ConsPlusNormal"/>
        <w:jc w:val="right"/>
      </w:pPr>
      <w:r>
        <w:t xml:space="preserve">потребления </w:t>
      </w:r>
      <w:proofErr w:type="gramStart"/>
      <w:r>
        <w:t>электрической</w:t>
      </w:r>
      <w:proofErr w:type="gramEnd"/>
    </w:p>
    <w:p w:rsidR="00AA0E8C" w:rsidRDefault="00AA0E8C" w:rsidP="00AA0E8C">
      <w:pPr>
        <w:pStyle w:val="ConsPlusNormal"/>
        <w:jc w:val="right"/>
      </w:pPr>
      <w:r>
        <w:t>энергии (мощности)</w:t>
      </w:r>
    </w:p>
    <w:p w:rsidR="00AA0E8C" w:rsidRDefault="00AA0E8C" w:rsidP="00AA0E8C">
      <w:pPr>
        <w:pStyle w:val="ConsPlusNormal"/>
        <w:ind w:firstLine="540"/>
        <w:jc w:val="both"/>
      </w:pPr>
    </w:p>
    <w:p w:rsidR="00AA0E8C" w:rsidRDefault="00AA0E8C" w:rsidP="00AA0E8C">
      <w:pPr>
        <w:pStyle w:val="ConsPlusTitle"/>
        <w:jc w:val="center"/>
      </w:pPr>
      <w:bookmarkStart w:id="0" w:name="Par442"/>
      <w:bookmarkEnd w:id="0"/>
      <w:r>
        <w:t>МЕТОДИКА</w:t>
      </w:r>
    </w:p>
    <w:p w:rsidR="00AA0E8C" w:rsidRDefault="00AA0E8C" w:rsidP="00AA0E8C">
      <w:pPr>
        <w:pStyle w:val="ConsPlusTitle"/>
        <w:jc w:val="center"/>
      </w:pPr>
      <w:r>
        <w:t>РАСЧЕТА СОЦИАЛЬНОЙ НОРМЫ ПОТРЕБЛЕНИЯ ЭЛЕКТРИЧЕСКОЙ</w:t>
      </w:r>
    </w:p>
    <w:p w:rsidR="00AA0E8C" w:rsidRDefault="00AA0E8C" w:rsidP="00AA0E8C">
      <w:pPr>
        <w:pStyle w:val="ConsPlusTitle"/>
        <w:jc w:val="center"/>
      </w:pPr>
      <w:r>
        <w:t>ЭНЕРГИИ (МОЩНОСТИ)</w:t>
      </w:r>
    </w:p>
    <w:p w:rsidR="00AA0E8C" w:rsidRDefault="00AA0E8C" w:rsidP="00AA0E8C">
      <w:pPr>
        <w:pStyle w:val="ConsPlusNormal"/>
      </w:pPr>
    </w:p>
    <w:p w:rsidR="00AA0E8C" w:rsidRDefault="00AA0E8C" w:rsidP="00441A16">
      <w:pPr>
        <w:pStyle w:val="ConsPlusNormal"/>
        <w:jc w:val="center"/>
        <w:rPr/>
      </w:pPr>
      <w:r>
        <w:rPr/>
        <w:t>(в ред. Постановления Правительства РФ от 25.02.2014 N 136)</w:t>
      </w:r>
    </w:p>
    <w:p w:rsidR="00AA0E8C" w:rsidRDefault="00AA0E8C" w:rsidP="00AA0E8C">
      <w:pPr>
        <w:pStyle w:val="ConsPlusNormal"/>
        <w:ind w:firstLine="540"/>
        <w:jc w:val="both"/>
      </w:pPr>
    </w:p>
    <w:p w:rsidR="00AA0E8C" w:rsidRDefault="00AA0E8C" w:rsidP="00AA0E8C">
      <w:pPr>
        <w:pStyle w:val="ConsPlusNormal"/>
        <w:ind w:firstLine="540"/>
        <w:jc w:val="both"/>
      </w:pPr>
      <w:r>
        <w:t xml:space="preserve">1. Социальная норма потребления электрической энергии (мощности) (далее - социальная норма) рассчитывается в соответствии с </w:t>
      </w:r>
      <w:r>
        <w:rPr/>
        <w:t>Положением</w:t>
      </w:r>
      <w: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r>
        <w:rPr/>
        <w:t>Положении</w:t>
      </w:r>
      <w:r>
        <w:t>, в порядке, предусмотренном настоящей методикой.</w:t>
      </w:r>
    </w:p>
    <w:p w:rsidR="00AA0E8C" w:rsidRDefault="00AA0E8C" w:rsidP="00AA0E8C">
      <w:pPr>
        <w:pStyle w:val="ConsPlusNormal"/>
        <w:spacing w:before="240"/>
        <w:ind w:firstLine="540"/>
        <w:jc w:val="both"/>
      </w:pPr>
      <w:proofErr w:type="gramStart"/>
      <w: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roofErr w:type="gramEnd"/>
    </w:p>
    <w:p w:rsidR="00AA0E8C" w:rsidRDefault="00AA0E8C" w:rsidP="00AA0E8C">
      <w:pPr>
        <w:pStyle w:val="ConsPlusNormal"/>
        <w:ind w:firstLine="540"/>
        <w:jc w:val="both"/>
      </w:pPr>
    </w:p>
    <w:p w:rsidR="00AA0E8C" w:rsidRDefault="00AA0E8C" w:rsidP="00AA0E8C">
      <w:pPr>
        <w:pStyle w:val="ConsPlusNormal"/>
        <w:jc w:val="center"/>
      </w:pPr>
      <w:bookmarkStart w:id="1" w:name="Par451"/>
      <w:bookmarkEnd w:id="1"/>
      <w:r>
        <w:rPr>
          <w:noProof/>
          <w:position w:val="-31"/>
        </w:rPr>
        <w:drawing>
          <wp:inline distT="0" distB="0" distL="0" distR="0">
            <wp:extent cx="1476375" cy="561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где:</w:t>
      </w:r>
    </w:p>
    <w:p w:rsidR="00AA0E8C" w:rsidRDefault="00AA0E8C" w:rsidP="00AA0E8C">
      <w:pPr>
        <w:pStyle w:val="ConsPlusNormal"/>
        <w:spacing w:before="240"/>
        <w:ind w:firstLine="540"/>
        <w:jc w:val="both"/>
      </w:pPr>
      <w:r>
        <w:rPr>
          <w:noProof/>
          <w:position w:val="-13"/>
        </w:rPr>
        <w:drawing>
          <wp:inline distT="0" distB="0" distL="0" distR="0">
            <wp:extent cx="428625" cy="3238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r>
        <w:t xml:space="preserve"> </w:t>
      </w:r>
      <w:proofErr w:type="gramStart"/>
      <w:r>
        <w:t xml:space="preserve">-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r>
        <w:rPr/>
        <w:t>пунктом 3</w:t>
      </w:r>
      <w:r>
        <w:t xml:space="preserve"> Положения (</w:t>
      </w:r>
      <w:proofErr w:type="spellStart"/>
      <w:r>
        <w:t>кВт·ч</w:t>
      </w:r>
      <w:proofErr w:type="spellEnd"/>
      <w:r>
        <w:t xml:space="preserve"> в год).</w:t>
      </w:r>
      <w:proofErr w:type="gramEnd"/>
      <w:r>
        <w:t xml:space="preserve">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AA0E8C" w:rsidRDefault="00AA0E8C" w:rsidP="00AA0E8C">
      <w:pPr>
        <w:pStyle w:val="ConsPlusNormal"/>
        <w:spacing w:before="240"/>
        <w:ind w:firstLine="540"/>
        <w:jc w:val="both"/>
      </w:pPr>
      <w:r>
        <w:rPr>
          <w:noProof/>
          <w:position w:val="-9"/>
        </w:rPr>
        <w:drawing>
          <wp:inline distT="0" distB="0" distL="0" distR="0">
            <wp:extent cx="39052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w:t>
      </w:r>
      <w:r>
        <w:lastRenderedPageBreak/>
        <w:t xml:space="preserve">электроплитами, электроотопительными и электронагревательными установками, включенных в выборку в соответствии с </w:t>
      </w:r>
      <w:r>
        <w:rPr/>
        <w:t>пунктом 3</w:t>
      </w:r>
      <w:r>
        <w:t xml:space="preserve"> Положения (человек).</w:t>
      </w:r>
    </w:p>
    <w:p w:rsidR="00AA0E8C" w:rsidRDefault="00AA0E8C" w:rsidP="00AA0E8C">
      <w:pPr>
        <w:pStyle w:val="ConsPlusNormal"/>
        <w:spacing w:before="240"/>
        <w:ind w:firstLine="540"/>
        <w:jc w:val="both"/>
      </w:pPr>
      <w:r>
        <w:t xml:space="preserve">Значения величин, используемых в </w:t>
      </w:r>
      <w:r>
        <w:rPr/>
        <w:t>формуле 1</w:t>
      </w:r>
      <w: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r>
        <w:rPr/>
        <w:t>пунктом 3</w:t>
      </w:r>
      <w:r>
        <w:t xml:space="preserve"> Положения.</w:t>
      </w:r>
    </w:p>
    <w:p w:rsidR="00AA0E8C" w:rsidRDefault="00AA0E8C" w:rsidP="00AA0E8C">
      <w:pPr>
        <w:pStyle w:val="ConsPlusNormal"/>
        <w:spacing w:before="240"/>
        <w:ind w:firstLine="540"/>
        <w:jc w:val="both"/>
      </w:pPr>
      <w:r>
        <w:t xml:space="preserve">2. </w:t>
      </w:r>
      <w:proofErr w:type="gramStart"/>
      <w:r>
        <w:t>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Правилами установления и</w:t>
      </w:r>
      <w:proofErr w:type="gramEnd"/>
      <w:r>
        <w:t xml:space="preserve"> определения нормативов потребления коммунальных услуг, утвержденными постановлением Правительства Российской Федерации от 23 мая 2006 г. N 306.</w:t>
      </w:r>
    </w:p>
    <w:p w:rsidR="00AA0E8C" w:rsidRDefault="00AA0E8C" w:rsidP="00AA0E8C">
      <w:pPr>
        <w:pStyle w:val="ConsPlusNormal"/>
        <w:spacing w:before="240"/>
        <w:ind w:firstLine="540"/>
        <w:jc w:val="both"/>
      </w:pPr>
      <w:proofErr w:type="gramStart"/>
      <w: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r>
        <w:rPr/>
        <w:t>пунктом 3</w:t>
      </w:r>
      <w: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w:t>
      </w:r>
      <w:proofErr w:type="gramEnd"/>
      <w:r>
        <w:t xml:space="preserve"> </w:t>
      </w:r>
      <w:proofErr w:type="gramStart"/>
      <w:r>
        <w:t>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w:t>
      </w:r>
      <w:proofErr w:type="gramEnd"/>
      <w:r>
        <w:t xml:space="preserve"> </w:t>
      </w:r>
      <w:r>
        <w:rPr/>
        <w:t>пунктом 6</w:t>
      </w:r>
      <w:r>
        <w:t xml:space="preserve"> настоящей методики.</w:t>
      </w:r>
    </w:p>
    <w:p w:rsidR="00AA0E8C" w:rsidRDefault="00AA0E8C" w:rsidP="00AA0E8C">
      <w:pPr>
        <w:pStyle w:val="ConsPlusNormal"/>
        <w:jc w:val="both"/>
      </w:pPr>
      <w:r>
        <w:t>(в ред. Постановления Правительства РФ от 25.02.2014 N 136)</w:t>
      </w:r>
    </w:p>
    <w:p w:rsidR="00AA0E8C" w:rsidRDefault="00AA0E8C" w:rsidP="00AA0E8C">
      <w:pPr>
        <w:pStyle w:val="ConsPlusNormal"/>
        <w:spacing w:before="240"/>
        <w:ind w:firstLine="540"/>
        <w:jc w:val="both"/>
      </w:pPr>
      <w:bookmarkStart w:id="2" w:name="Par460"/>
      <w:bookmarkEnd w:id="2"/>
      <w: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AA0E8C" w:rsidRDefault="00AA0E8C" w:rsidP="00AA0E8C">
      <w:pPr>
        <w:pStyle w:val="ConsPlusNormal"/>
        <w:ind w:firstLine="540"/>
        <w:jc w:val="both"/>
      </w:pPr>
    </w:p>
    <w:p w:rsidR="00AA0E8C" w:rsidRDefault="00AA0E8C" w:rsidP="00AA0E8C">
      <w:pPr>
        <w:pStyle w:val="ConsPlusNormal"/>
        <w:jc w:val="center"/>
      </w:pPr>
      <w:r>
        <w:rPr>
          <w:noProof/>
          <w:position w:val="-12"/>
        </w:rPr>
        <w:drawing>
          <wp:inline distT="0" distB="0" distL="0" distR="0">
            <wp:extent cx="1419225" cy="295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где:</w:t>
      </w:r>
    </w:p>
    <w:p w:rsidR="00AA0E8C" w:rsidRDefault="00AA0E8C" w:rsidP="00AA0E8C">
      <w:pPr>
        <w:pStyle w:val="ConsPlusNormal"/>
        <w:spacing w:before="240"/>
        <w:ind w:firstLine="540"/>
        <w:jc w:val="both"/>
      </w:pPr>
      <w:r>
        <w:t>Д - коэффициент, который принимает значения:</w:t>
      </w:r>
    </w:p>
    <w:p w:rsidR="00AA0E8C" w:rsidRDefault="00AA0E8C" w:rsidP="00AA0E8C">
      <w:pPr>
        <w:pStyle w:val="ConsPlusNormal"/>
        <w:spacing w:before="240"/>
        <w:ind w:firstLine="540"/>
        <w:jc w:val="both"/>
      </w:pPr>
      <w:r>
        <w:t>Д = 1,5 - для домохозяйств в аварийном жилом фонде либо ветхом жилом фонде со степенью износа 70 процентов и более;</w:t>
      </w:r>
    </w:p>
    <w:p w:rsidR="00AA0E8C" w:rsidRDefault="00AA0E8C" w:rsidP="00AA0E8C">
      <w:pPr>
        <w:pStyle w:val="ConsPlusNormal"/>
        <w:jc w:val="both"/>
      </w:pPr>
      <w:r>
        <w:t>(в ред. Постановления Правительства РФ от 25.02.2014 N 136)</w:t>
      </w:r>
    </w:p>
    <w:p w:rsidR="00AA0E8C" w:rsidRDefault="00AA0E8C" w:rsidP="00AA0E8C">
      <w:pPr>
        <w:pStyle w:val="ConsPlusNormal"/>
        <w:spacing w:before="240"/>
        <w:ind w:firstLine="540"/>
        <w:jc w:val="both"/>
      </w:pPr>
      <w:r>
        <w:t>абзац утратил силу. - Постановление Правительства РФ от 25.02.2014 N 136;</w:t>
      </w:r>
    </w:p>
    <w:p w:rsidR="00AA0E8C" w:rsidRDefault="00AA0E8C" w:rsidP="00AA0E8C">
      <w:pPr>
        <w:pStyle w:val="ConsPlusNormal"/>
        <w:spacing w:before="240"/>
        <w:ind w:firstLine="540"/>
        <w:jc w:val="both"/>
      </w:pPr>
      <w:r>
        <w:t>Д = 1 - для остальных домохозяйств.</w:t>
      </w:r>
    </w:p>
    <w:p w:rsidR="00AA0E8C" w:rsidRDefault="00AA0E8C" w:rsidP="00AA0E8C">
      <w:pPr>
        <w:pStyle w:val="ConsPlusNormal"/>
        <w:spacing w:before="240"/>
        <w:ind w:firstLine="540"/>
        <w:jc w:val="both"/>
      </w:pPr>
      <w:r>
        <w:lastRenderedPageBreak/>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AA0E8C" w:rsidRDefault="00AA0E8C" w:rsidP="00AA0E8C">
      <w:pPr>
        <w:pStyle w:val="ConsPlusNormal"/>
        <w:ind w:firstLine="540"/>
        <w:jc w:val="both"/>
      </w:pPr>
    </w:p>
    <w:p w:rsidR="00AA0E8C" w:rsidRDefault="00AA0E8C" w:rsidP="00AA0E8C">
      <w:pPr>
        <w:pStyle w:val="ConsPlusNormal"/>
        <w:jc w:val="center"/>
      </w:pPr>
      <w:r>
        <w:rPr>
          <w:noProof/>
          <w:position w:val="-9"/>
        </w:rPr>
        <w:drawing>
          <wp:inline distT="0" distB="0" distL="0" distR="0">
            <wp:extent cx="177165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27622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где:</w:t>
      </w:r>
    </w:p>
    <w:p w:rsidR="00AA0E8C" w:rsidRDefault="00AA0E8C" w:rsidP="00AA0E8C">
      <w:pPr>
        <w:pStyle w:val="ConsPlusNormal"/>
        <w:spacing w:before="240"/>
        <w:ind w:firstLine="540"/>
        <w:jc w:val="both"/>
      </w:pPr>
      <w: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AA0E8C" w:rsidRDefault="00AA0E8C" w:rsidP="00AA0E8C">
      <w:pPr>
        <w:pStyle w:val="ConsPlusNormal"/>
        <w:spacing w:before="240"/>
        <w:ind w:firstLine="540"/>
        <w:jc w:val="both"/>
      </w:pPr>
      <w:r>
        <w:t>m - количество зарегистрированных в установленном порядке лиц в жилом помещении (m = 2, 3, 4, 5 и более);</w:t>
      </w:r>
    </w:p>
    <w:p w:rsidR="00AA0E8C" w:rsidRDefault="00AA0E8C" w:rsidP="00AA0E8C">
      <w:pPr>
        <w:pStyle w:val="ConsPlusNormal"/>
        <w:spacing w:before="240"/>
        <w:ind w:firstLine="540"/>
        <w:jc w:val="both"/>
      </w:pPr>
      <w:r>
        <w:rPr>
          <w:noProof/>
          <w:position w:val="-6"/>
        </w:rPr>
        <w:drawing>
          <wp:inline distT="0" distB="0" distL="0" distR="0">
            <wp:extent cx="2857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коэффициент увеличения социальной нормы потребления в соответствии с численностью состава домохозяйства, равный 60 </w:t>
      </w:r>
      <w:proofErr w:type="spellStart"/>
      <w:r>
        <w:t>кВт·</w:t>
      </w:r>
      <w:proofErr w:type="gramStart"/>
      <w:r>
        <w:t>ч</w:t>
      </w:r>
      <w:proofErr w:type="spellEnd"/>
      <w:proofErr w:type="gramEnd"/>
      <w:r>
        <w:t xml:space="preserve"> в месяц для m = 2, 40 </w:t>
      </w:r>
      <w:proofErr w:type="spellStart"/>
      <w:r>
        <w:t>кВт·ч</w:t>
      </w:r>
      <w:proofErr w:type="spellEnd"/>
      <w:r>
        <w:t xml:space="preserve"> в месяц, для m = 3, 4, 5 и более (по количеству зарегистрированных по постоянному месту жительства или временно).</w:t>
      </w:r>
    </w:p>
    <w:p w:rsidR="00AA0E8C" w:rsidRDefault="00AA0E8C" w:rsidP="00AA0E8C">
      <w:pPr>
        <w:pStyle w:val="ConsPlusNormal"/>
        <w:jc w:val="both"/>
      </w:pPr>
      <w:r>
        <w:t>(п. 4 в ред. Постановления Правительства РФ от 25.02.2014 N 136)</w:t>
      </w:r>
    </w:p>
    <w:p w:rsidR="00AA0E8C" w:rsidRDefault="00AA0E8C" w:rsidP="00AA0E8C">
      <w:pPr>
        <w:pStyle w:val="ConsPlusNormal"/>
        <w:spacing w:before="240"/>
        <w:ind w:firstLine="540"/>
        <w:jc w:val="both"/>
      </w:pPr>
      <w:r>
        <w:t>5. Величина социальной нормы для шестой группы домохозяйств определяется по формуле 4:</w:t>
      </w:r>
    </w:p>
    <w:p w:rsidR="00AA0E8C" w:rsidRDefault="00AA0E8C" w:rsidP="00AA0E8C">
      <w:pPr>
        <w:pStyle w:val="ConsPlusNormal"/>
        <w:ind w:firstLine="540"/>
        <w:jc w:val="both"/>
      </w:pPr>
    </w:p>
    <w:p w:rsidR="00AA0E8C" w:rsidRDefault="00AA0E8C" w:rsidP="00AA0E8C">
      <w:pPr>
        <w:pStyle w:val="ConsPlusNormal"/>
        <w:jc w:val="center"/>
      </w:pPr>
      <w:r>
        <w:rPr>
          <w:noProof/>
          <w:position w:val="-12"/>
        </w:rPr>
        <w:drawing>
          <wp:inline distT="0" distB="0" distL="0" distR="0">
            <wp:extent cx="1543050" cy="295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bookmarkStart w:id="3" w:name="Par483"/>
      <w:bookmarkEnd w:id="3"/>
      <w:r>
        <w:t xml:space="preserve">6. </w:t>
      </w:r>
      <w:proofErr w:type="gramStart"/>
      <w:r>
        <w:t>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roofErr w:type="gramEnd"/>
    </w:p>
    <w:p w:rsidR="00AA0E8C" w:rsidRDefault="00AA0E8C" w:rsidP="00AA0E8C">
      <w:pPr>
        <w:pStyle w:val="ConsPlusNormal"/>
        <w:jc w:val="both"/>
      </w:pPr>
      <w:r>
        <w:t>(в ред. Постановления Правительства РФ от 25.02.2014 N 136)</w:t>
      </w:r>
    </w:p>
    <w:p w:rsidR="00AA0E8C" w:rsidRDefault="00AA0E8C" w:rsidP="00AA0E8C">
      <w:pPr>
        <w:pStyle w:val="ConsPlusNormal"/>
        <w:ind w:firstLine="540"/>
        <w:jc w:val="both"/>
      </w:pPr>
    </w:p>
    <w:p w:rsidR="00AA0E8C" w:rsidRDefault="00AA0E8C" w:rsidP="00AA0E8C">
      <w:pPr>
        <w:pStyle w:val="ConsPlusNormal"/>
        <w:jc w:val="center"/>
      </w:pPr>
      <w:bookmarkStart w:id="4" w:name="Par486"/>
      <w:bookmarkEnd w:id="4"/>
      <w:r>
        <w:rPr>
          <w:noProof/>
          <w:position w:val="-12"/>
        </w:rPr>
        <w:drawing>
          <wp:inline distT="0" distB="0" distL="0" distR="0">
            <wp:extent cx="2057400" cy="295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где:</w:t>
      </w:r>
    </w:p>
    <w:p w:rsidR="00AA0E8C" w:rsidRDefault="00AA0E8C" w:rsidP="00AA0E8C">
      <w:pPr>
        <w:pStyle w:val="ConsPlusNormal"/>
        <w:spacing w:before="240"/>
        <w:ind w:firstLine="540"/>
        <w:jc w:val="both"/>
      </w:pPr>
      <w:r>
        <w:rPr>
          <w:noProof/>
          <w:position w:val="-10"/>
        </w:rPr>
        <w:drawing>
          <wp:inline distT="0" distB="0" distL="0" distR="0">
            <wp:extent cx="600075" cy="295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295275"/>
                    </a:xfrm>
                    <a:prstGeom prst="rect">
                      <a:avLst/>
                    </a:prstGeom>
                    <a:noFill/>
                    <a:ln>
                      <a:noFill/>
                    </a:ln>
                  </pic:spPr>
                </pic:pic>
              </a:graphicData>
            </a:graphic>
          </wp:inline>
        </w:drawing>
      </w:r>
      <w:r>
        <w:t xml:space="preserve"> </w:t>
      </w:r>
      <w:proofErr w:type="gramStart"/>
      <w:r>
        <w:t>-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w:t>
      </w:r>
      <w:proofErr w:type="gramEnd"/>
      <w:r>
        <w:t xml:space="preserve"> помещении, </w:t>
      </w:r>
      <w:proofErr w:type="gramStart"/>
      <w:r>
        <w:t>устанавливаемую</w:t>
      </w:r>
      <w:proofErr w:type="gramEnd"/>
      <w:r>
        <w:t xml:space="preserve"> уполномоченным органом государственной власти субъекта Российской Федерации, в размере не более 50 </w:t>
      </w:r>
      <w:proofErr w:type="spellStart"/>
      <w:r>
        <w:t>кВт·ч</w:t>
      </w:r>
      <w:proofErr w:type="spellEnd"/>
      <w:r>
        <w:t xml:space="preserve"> в месяц на 1 человека, но не менее 90 </w:t>
      </w:r>
      <w:proofErr w:type="spellStart"/>
      <w:r>
        <w:t>кВт·ч</w:t>
      </w:r>
      <w:proofErr w:type="spellEnd"/>
      <w:r>
        <w:t xml:space="preserve"> в месяц на одно домохозяйство.</w:t>
      </w:r>
    </w:p>
    <w:p w:rsidR="00AA0E8C" w:rsidRDefault="00AA0E8C" w:rsidP="00AA0E8C">
      <w:pPr>
        <w:pStyle w:val="ConsPlusNormal"/>
        <w:jc w:val="both"/>
      </w:pPr>
      <w:r>
        <w:t>(в ред. Постановления Правительства РФ от 25.02.2014 N 136)</w:t>
      </w:r>
    </w:p>
    <w:p w:rsidR="00AA0E8C" w:rsidRDefault="00AA0E8C" w:rsidP="00AA0E8C">
      <w:pPr>
        <w:pStyle w:val="ConsPlusNormal"/>
        <w:spacing w:before="240"/>
        <w:ind w:firstLine="540"/>
        <w:jc w:val="both"/>
      </w:pPr>
      <w:r>
        <w:lastRenderedPageBreak/>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AA0E8C" w:rsidRDefault="00AA0E8C" w:rsidP="00AA0E8C">
      <w:pPr>
        <w:pStyle w:val="ConsPlusNormal"/>
        <w:spacing w:before="240"/>
        <w:ind w:firstLine="540"/>
        <w:jc w:val="both"/>
      </w:pPr>
      <w:r>
        <w:t>а) по формуле 6.1 - в сроки, определяющие начало и окончание отопительного периода:</w:t>
      </w:r>
    </w:p>
    <w:p w:rsidR="00AA0E8C" w:rsidRDefault="00AA0E8C" w:rsidP="00AA0E8C">
      <w:pPr>
        <w:pStyle w:val="ConsPlusNormal"/>
        <w:ind w:firstLine="540"/>
        <w:jc w:val="both"/>
      </w:pPr>
    </w:p>
    <w:p w:rsidR="00AA0E8C" w:rsidRDefault="00AA0E8C" w:rsidP="00AA0E8C">
      <w:pPr>
        <w:pStyle w:val="ConsPlusNormal"/>
        <w:jc w:val="center"/>
      </w:pPr>
      <w:bookmarkStart w:id="5" w:name="Par494"/>
      <w:bookmarkEnd w:id="5"/>
      <w:r>
        <w:rPr>
          <w:noProof/>
          <w:position w:val="-12"/>
        </w:rPr>
        <w:drawing>
          <wp:inline distT="0" distB="0" distL="0" distR="0">
            <wp:extent cx="3581400" cy="2952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1400"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где:</w:t>
      </w:r>
    </w:p>
    <w:p w:rsidR="00AA0E8C" w:rsidRDefault="00AA0E8C" w:rsidP="00AA0E8C">
      <w:pPr>
        <w:pStyle w:val="ConsPlusNormal"/>
        <w:spacing w:before="240"/>
        <w:ind w:firstLine="540"/>
        <w:jc w:val="both"/>
      </w:pPr>
      <w:r>
        <w:rPr>
          <w:noProof/>
          <w:position w:val="-9"/>
        </w:rPr>
        <w:drawing>
          <wp:inline distT="0" distB="0" distL="0" distR="0">
            <wp:extent cx="6381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AA0E8C" w:rsidRDefault="00AA0E8C" w:rsidP="00AA0E8C">
      <w:pPr>
        <w:pStyle w:val="ConsPlusNormal"/>
        <w:jc w:val="both"/>
      </w:pPr>
      <w:r>
        <w:t>(в ред. Постановления Правительства РФ от 25.02.2014 N 136)</w:t>
      </w:r>
    </w:p>
    <w:p w:rsidR="00AA0E8C" w:rsidRDefault="00AA0E8C" w:rsidP="00AA0E8C">
      <w:pPr>
        <w:pStyle w:val="ConsPlusNormal"/>
        <w:spacing w:before="240"/>
        <w:ind w:firstLine="540"/>
        <w:jc w:val="both"/>
      </w:pPr>
      <w:r>
        <w:rPr>
          <w:noProof/>
          <w:position w:val="-10"/>
        </w:rPr>
        <w:drawing>
          <wp:inline distT="0" distB="0" distL="0" distR="0">
            <wp:extent cx="4572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r>
        <w:t xml:space="preserve"> </w:t>
      </w:r>
      <w:proofErr w:type="gramStart"/>
      <w:r>
        <w:t xml:space="preserve">- величина, характеризующая потребление электроэнергии на </w:t>
      </w:r>
      <w:proofErr w:type="spellStart"/>
      <w:r>
        <w:t>водоподогрев</w:t>
      </w:r>
      <w:proofErr w:type="spellEnd"/>
      <w: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w:t>
      </w:r>
      <w:proofErr w:type="spellStart"/>
      <w:r>
        <w:t>кВт·ч</w:t>
      </w:r>
      <w:proofErr w:type="spellEnd"/>
      <w:r>
        <w:t xml:space="preserve"> в месяц на</w:t>
      </w:r>
      <w:proofErr w:type="gramEnd"/>
      <w:r>
        <w:t xml:space="preserve"> 1 человека;</w:t>
      </w:r>
    </w:p>
    <w:p w:rsidR="00AA0E8C" w:rsidRDefault="00AA0E8C" w:rsidP="00AA0E8C">
      <w:pPr>
        <w:pStyle w:val="ConsPlusNormal"/>
        <w:jc w:val="both"/>
      </w:pPr>
      <w:r>
        <w:t>(в ред. Постановления Правительства РФ от 25.02.2014 N 136)</w:t>
      </w:r>
    </w:p>
    <w:p w:rsidR="00AA0E8C" w:rsidRDefault="00AA0E8C" w:rsidP="00AA0E8C">
      <w:pPr>
        <w:pStyle w:val="ConsPlusNormal"/>
        <w:spacing w:before="240"/>
        <w:ind w:firstLine="540"/>
        <w:jc w:val="both"/>
      </w:pPr>
      <w:r>
        <w:t>б) по формуле 6.2 - в остальные месяцы календарного года:</w:t>
      </w:r>
    </w:p>
    <w:p w:rsidR="00AA0E8C" w:rsidRDefault="00AA0E8C" w:rsidP="00AA0E8C">
      <w:pPr>
        <w:pStyle w:val="ConsPlusNormal"/>
        <w:ind w:firstLine="540"/>
        <w:jc w:val="both"/>
      </w:pPr>
    </w:p>
    <w:p w:rsidR="00AA0E8C" w:rsidRDefault="00AA0E8C" w:rsidP="00AA0E8C">
      <w:pPr>
        <w:pStyle w:val="ConsPlusNormal"/>
        <w:jc w:val="center"/>
      </w:pPr>
      <w:bookmarkStart w:id="6" w:name="Par503"/>
      <w:bookmarkEnd w:id="6"/>
      <w:r>
        <w:rPr>
          <w:noProof/>
          <w:position w:val="-12"/>
        </w:rPr>
        <w:drawing>
          <wp:inline distT="0" distB="0" distL="0" distR="0">
            <wp:extent cx="2790825" cy="295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AA0E8C" w:rsidRDefault="00AA0E8C" w:rsidP="00AA0E8C">
      <w:pPr>
        <w:pStyle w:val="ConsPlusNormal"/>
        <w:ind w:firstLine="540"/>
        <w:jc w:val="both"/>
      </w:pPr>
    </w:p>
    <w:p w:rsidR="00AA0E8C" w:rsidRDefault="00AA0E8C" w:rsidP="00AA0E8C">
      <w:pPr>
        <w:pStyle w:val="ConsPlusNormal"/>
        <w:jc w:val="center"/>
      </w:pPr>
      <w:r>
        <w:rPr>
          <w:noProof/>
          <w:position w:val="-10"/>
        </w:rPr>
        <w:drawing>
          <wp:inline distT="0" distB="0" distL="0" distR="0">
            <wp:extent cx="17526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где:</w:t>
      </w:r>
    </w:p>
    <w:p w:rsidR="00AA0E8C" w:rsidRDefault="00AA0E8C" w:rsidP="00AA0E8C">
      <w:pPr>
        <w:pStyle w:val="ConsPlusNormal"/>
        <w:spacing w:before="240"/>
        <w:ind w:firstLine="540"/>
        <w:jc w:val="both"/>
      </w:pPr>
      <w:r>
        <w:rPr>
          <w:noProof/>
          <w:position w:val="-9"/>
        </w:rPr>
        <w:drawing>
          <wp:inline distT="0" distB="0" distL="0" distR="0">
            <wp:extent cx="5238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w:t>
      </w:r>
      <w:proofErr w:type="spellStart"/>
      <w:r>
        <w:t>кВт·</w:t>
      </w:r>
      <w:proofErr w:type="gramStart"/>
      <w:r>
        <w:t>ч</w:t>
      </w:r>
      <w:proofErr w:type="spellEnd"/>
      <w:proofErr w:type="gramEnd"/>
      <w:r>
        <w:t xml:space="preserve"> в месяц на 1 домохозяйство.</w:t>
      </w:r>
    </w:p>
    <w:p w:rsidR="00AA0E8C" w:rsidRDefault="00AA0E8C" w:rsidP="00AA0E8C">
      <w:pPr>
        <w:pStyle w:val="ConsPlusNormal"/>
        <w:spacing w:before="240"/>
        <w:ind w:firstLine="540"/>
        <w:jc w:val="both"/>
      </w:pPr>
      <w:r>
        <w:t xml:space="preserve">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w:t>
      </w:r>
      <w:r>
        <w:lastRenderedPageBreak/>
        <w:t>установками, определяется для каждой группы домохозяйств по формуле 8:</w:t>
      </w:r>
    </w:p>
    <w:p w:rsidR="00AA0E8C" w:rsidRDefault="00AA0E8C" w:rsidP="00AA0E8C">
      <w:pPr>
        <w:pStyle w:val="ConsPlusNormal"/>
        <w:ind w:firstLine="540"/>
        <w:jc w:val="both"/>
      </w:pPr>
    </w:p>
    <w:p w:rsidR="00AA0E8C" w:rsidRDefault="00AA0E8C" w:rsidP="00AA0E8C">
      <w:pPr>
        <w:pStyle w:val="ConsPlusNormal"/>
        <w:jc w:val="center"/>
      </w:pPr>
      <w:bookmarkStart w:id="7" w:name="Par513"/>
      <w:bookmarkEnd w:id="7"/>
      <w:r>
        <w:rPr>
          <w:noProof/>
          <w:position w:val="-12"/>
        </w:rPr>
        <w:drawing>
          <wp:inline distT="0" distB="0" distL="0" distR="0">
            <wp:extent cx="26860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86050"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AA0E8C" w:rsidRDefault="00AA0E8C" w:rsidP="00AA0E8C">
      <w:pPr>
        <w:pStyle w:val="ConsPlusNormal"/>
        <w:spacing w:before="240"/>
        <w:ind w:firstLine="540"/>
        <w:jc w:val="both"/>
      </w:pPr>
      <w:r>
        <w:t>а) по формуле 9.1 - в сроки, определяющие начало и окончание отопительного периода:</w:t>
      </w:r>
    </w:p>
    <w:p w:rsidR="00AA0E8C" w:rsidRDefault="00AA0E8C" w:rsidP="00AA0E8C">
      <w:pPr>
        <w:pStyle w:val="ConsPlusNormal"/>
        <w:ind w:firstLine="540"/>
        <w:jc w:val="both"/>
      </w:pPr>
    </w:p>
    <w:p w:rsidR="00AA0E8C" w:rsidRDefault="00AA0E8C" w:rsidP="00AA0E8C">
      <w:pPr>
        <w:pStyle w:val="ConsPlusNormal"/>
        <w:jc w:val="center"/>
      </w:pPr>
      <w:bookmarkStart w:id="8" w:name="Par518"/>
      <w:bookmarkEnd w:id="8"/>
      <w:r>
        <w:rPr>
          <w:noProof/>
          <w:position w:val="-12"/>
        </w:rPr>
        <w:drawing>
          <wp:inline distT="0" distB="0" distL="0" distR="0">
            <wp:extent cx="42672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67200"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r>
        <w:t>б) по формуле 9.2 - в остальные месяцы календарного года:</w:t>
      </w:r>
    </w:p>
    <w:p w:rsidR="00AA0E8C" w:rsidRDefault="00AA0E8C" w:rsidP="00AA0E8C">
      <w:pPr>
        <w:pStyle w:val="ConsPlusNormal"/>
        <w:ind w:firstLine="540"/>
        <w:jc w:val="both"/>
      </w:pPr>
    </w:p>
    <w:p w:rsidR="00AA0E8C" w:rsidRDefault="00AA0E8C" w:rsidP="00AA0E8C">
      <w:pPr>
        <w:pStyle w:val="ConsPlusNormal"/>
        <w:jc w:val="center"/>
      </w:pPr>
      <w:bookmarkStart w:id="9" w:name="Par522"/>
      <w:bookmarkEnd w:id="9"/>
      <w:r>
        <w:rPr>
          <w:noProof/>
          <w:position w:val="-12"/>
        </w:rPr>
        <w:drawing>
          <wp:inline distT="0" distB="0" distL="0" distR="0">
            <wp:extent cx="348615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86150" cy="295275"/>
                    </a:xfrm>
                    <a:prstGeom prst="rect">
                      <a:avLst/>
                    </a:prstGeom>
                    <a:noFill/>
                    <a:ln>
                      <a:noFill/>
                    </a:ln>
                  </pic:spPr>
                </pic:pic>
              </a:graphicData>
            </a:graphic>
          </wp:inline>
        </w:drawing>
      </w:r>
      <w:r>
        <w:t>.</w:t>
      </w:r>
    </w:p>
    <w:p w:rsidR="00AA0E8C" w:rsidRDefault="00AA0E8C" w:rsidP="00AA0E8C">
      <w:pPr>
        <w:pStyle w:val="ConsPlusNormal"/>
        <w:ind w:firstLine="540"/>
        <w:jc w:val="both"/>
      </w:pPr>
    </w:p>
    <w:p w:rsidR="00AA0E8C" w:rsidRDefault="00AA0E8C" w:rsidP="00AA0E8C">
      <w:pPr>
        <w:pStyle w:val="ConsPlusNormal"/>
        <w:ind w:firstLine="540"/>
        <w:jc w:val="both"/>
      </w:pPr>
      <w:bookmarkStart w:id="10" w:name="Par524"/>
      <w:bookmarkEnd w:id="10"/>
      <w:r>
        <w:t xml:space="preserve">11. </w:t>
      </w:r>
      <w:proofErr w:type="gramStart"/>
      <w:r>
        <w:t xml:space="preserve">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r>
        <w:rPr/>
        <w:t>формулах 6.1</w:t>
      </w:r>
      <w:r>
        <w:t xml:space="preserve"> - </w:t>
      </w:r>
      <w:r>
        <w:rPr/>
        <w:t>6.2</w:t>
      </w:r>
      <w:r>
        <w:t xml:space="preserve"> пункта 7 настоящей методики и в </w:t>
      </w:r>
      <w:r>
        <w:rPr/>
        <w:t>формулах 9.1</w:t>
      </w:r>
      <w:r>
        <w:t xml:space="preserve"> - </w:t>
      </w:r>
      <w:r>
        <w:rPr/>
        <w:t>9.2</w:t>
      </w:r>
      <w: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roofErr w:type="gramEnd"/>
    </w:p>
    <w:p w:rsidR="00AA0E8C" w:rsidRDefault="00AA0E8C" w:rsidP="00AA0E8C">
      <w:pPr>
        <w:pStyle w:val="ConsPlusNormal"/>
        <w:spacing w:before="240"/>
        <w:ind w:firstLine="540"/>
        <w:jc w:val="both"/>
      </w:pPr>
      <w:r>
        <w:t xml:space="preserve">12. </w:t>
      </w:r>
      <w:proofErr w:type="gramStart"/>
      <w:r>
        <w:t xml:space="preserve">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w:t>
      </w:r>
      <w:proofErr w:type="spellStart"/>
      <w:r>
        <w:t>водоподогрев</w:t>
      </w:r>
      <w:proofErr w:type="spellEnd"/>
      <w:r>
        <w:t xml:space="preserve">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w:t>
      </w:r>
      <w:proofErr w:type="gramEnd"/>
      <w:r>
        <w:t xml:space="preserve">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AA0E8C" w:rsidRDefault="00AA0E8C" w:rsidP="00AA0E8C">
      <w:pPr>
        <w:pStyle w:val="ConsPlusNormal"/>
        <w:jc w:val="both"/>
      </w:pPr>
      <w:r>
        <w:t>(п. 12 в ред. Постановления Правительства РФ от 25.02.2014 N 136)</w:t>
      </w:r>
    </w:p>
    <w:p w:rsidR="00AA0E8C" w:rsidRDefault="00AA0E8C" w:rsidP="00AA0E8C">
      <w:pPr>
        <w:pStyle w:val="ConsPlusNormal"/>
        <w:spacing w:before="240"/>
        <w:ind w:firstLine="540"/>
        <w:jc w:val="both"/>
      </w:pPr>
      <w:r>
        <w:t>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AA0E8C" w:rsidRDefault="00AA0E8C" w:rsidP="00AA0E8C">
      <w:pPr>
        <w:pStyle w:val="ConsPlusNormal"/>
        <w:jc w:val="both"/>
      </w:pPr>
      <w:r>
        <w:t xml:space="preserve">(п. 13 </w:t>
      </w:r>
      <w:proofErr w:type="gramStart"/>
      <w:r>
        <w:t>введен</w:t>
      </w:r>
      <w:proofErr w:type="gramEnd"/>
      <w:r>
        <w:t xml:space="preserve"> Постановлением Правительства РФ от 25.02.2014 N 136)</w:t>
      </w:r>
    </w:p>
    <w:p w:rsidR="00AA0E8C" w:rsidRDefault="00AA0E8C" w:rsidP="00AA0E8C">
      <w:pPr>
        <w:pStyle w:val="ConsPlusNormal"/>
        <w:ind w:firstLine="540"/>
        <w:jc w:val="both"/>
      </w:pPr>
    </w:p>
    <w:p w:rsidR="00AA0E8C" w:rsidRDefault="00AA0E8C" w:rsidP="00AA0E8C">
      <w:pPr>
        <w:pStyle w:val="ConsPlusNormal"/>
        <w:ind w:firstLine="540"/>
        <w:jc w:val="both"/>
      </w:pPr>
    </w:p>
    <w:p w:rsidR="00886B35" w:rsidRDefault="00886B35">
      <w:bookmarkStart w:id="11" w:name="_GoBack"/>
      <w:bookmarkEnd w:id="11"/>
    </w:p>
    <w:sectPr w:rsidR="0088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8C"/>
    <w:rsid w:val="00886B35"/>
    <w:rsid w:val="00AA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E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A0E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AA0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E8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E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A0E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AA0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E8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2019-01-24T14:48:00Z</dcterms:created>
  <dcterms:modified xsi:type="dcterms:W3CDTF">2019-01-24T14:57:00Z</dcterms:modified>
</cp:coreProperties>
</file>