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8" w:rsidRDefault="002F50D8" w:rsidP="002F50D8">
      <w:pPr>
        <w:pStyle w:val="ConsPlusNormal"/>
        <w:jc w:val="right"/>
        <w:outlineLvl w:val="1"/>
      </w:pPr>
      <w:r>
        <w:t>Приложение N 1</w:t>
      </w:r>
    </w:p>
    <w:p w:rsidR="002F50D8" w:rsidRDefault="002F50D8" w:rsidP="002F50D8">
      <w:pPr>
        <w:pStyle w:val="ConsPlusNormal"/>
        <w:jc w:val="right"/>
      </w:pPr>
      <w:r>
        <w:t>к Положению об установлении</w:t>
      </w:r>
    </w:p>
    <w:p w:rsidR="002F50D8" w:rsidRDefault="002F50D8" w:rsidP="002F50D8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социальной нормы</w:t>
      </w:r>
    </w:p>
    <w:p w:rsidR="002F50D8" w:rsidRDefault="002F50D8" w:rsidP="002F50D8">
      <w:pPr>
        <w:pStyle w:val="ConsPlusNormal"/>
        <w:jc w:val="right"/>
      </w:pPr>
      <w:r>
        <w:t xml:space="preserve">потребления </w:t>
      </w:r>
      <w:proofErr w:type="gramStart"/>
      <w:r>
        <w:t>электрической</w:t>
      </w:r>
      <w:proofErr w:type="gramEnd"/>
    </w:p>
    <w:p w:rsidR="002F50D8" w:rsidRDefault="002F50D8" w:rsidP="002F50D8">
      <w:pPr>
        <w:pStyle w:val="ConsPlusNormal"/>
        <w:jc w:val="right"/>
      </w:pPr>
      <w:r>
        <w:t>энергии (мощности)</w:t>
      </w:r>
    </w:p>
    <w:p w:rsidR="002F50D8" w:rsidRDefault="002F50D8" w:rsidP="002F50D8">
      <w:pPr>
        <w:pStyle w:val="ConsPlusNormal"/>
        <w:jc w:val="right"/>
      </w:pPr>
    </w:p>
    <w:p w:rsidR="002F50D8" w:rsidRDefault="002F50D8" w:rsidP="002F50D8">
      <w:pPr>
        <w:pStyle w:val="ConsPlusNormal"/>
        <w:jc w:val="center"/>
      </w:pPr>
      <w:bookmarkStart w:id="0" w:name="Par286"/>
      <w:bookmarkEnd w:id="0"/>
      <w:r>
        <w:t>ИНФОРМАЦИЯ</w:t>
      </w:r>
    </w:p>
    <w:p w:rsidR="002F50D8" w:rsidRDefault="002F50D8" w:rsidP="002F50D8">
      <w:pPr>
        <w:pStyle w:val="ConsPlusNormal"/>
        <w:jc w:val="center"/>
      </w:pPr>
      <w:r>
        <w:t xml:space="preserve">о годовом объеме потребления электрической энергии в </w:t>
      </w:r>
      <w:proofErr w:type="gramStart"/>
      <w:r>
        <w:t>жилых</w:t>
      </w:r>
      <w:proofErr w:type="gramEnd"/>
    </w:p>
    <w:p w:rsidR="002F50D8" w:rsidRDefault="002F50D8" w:rsidP="002F50D8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на территории субъекта Российской Федерации </w:t>
      </w:r>
      <w:r>
        <w:rPr/>
        <w:t>&lt;1&gt;</w:t>
      </w:r>
    </w:p>
    <w:p w:rsidR="002F50D8" w:rsidRDefault="002F50D8" w:rsidP="002F50D8">
      <w:pPr>
        <w:pStyle w:val="ConsPlusNormal"/>
        <w:ind w:firstLine="540"/>
        <w:jc w:val="both"/>
      </w:pPr>
    </w:p>
    <w:p w:rsidR="002F50D8" w:rsidRDefault="002F50D8" w:rsidP="002F50D8">
      <w:pPr>
        <w:pStyle w:val="ConsPlusNormal"/>
        <w:jc w:val="right"/>
      </w:pPr>
      <w:r>
        <w:t>(</w:t>
      </w:r>
      <w:proofErr w:type="spellStart"/>
      <w:r>
        <w:t>кВт·ч</w:t>
      </w:r>
      <w:proofErr w:type="spellEnd"/>
      <w:r>
        <w:t>)</w:t>
      </w:r>
    </w:p>
    <w:p w:rsidR="002F50D8" w:rsidRDefault="002F50D8" w:rsidP="002F50D8">
      <w:pPr>
        <w:pStyle w:val="ConsPlusNormal"/>
        <w:jc w:val="right"/>
      </w:pPr>
    </w:p>
    <w:p w:rsidR="002F50D8" w:rsidRDefault="002F50D8" w:rsidP="002F50D8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142"/>
        <w:gridCol w:w="947"/>
        <w:gridCol w:w="645"/>
        <w:gridCol w:w="881"/>
        <w:gridCol w:w="1099"/>
        <w:gridCol w:w="1084"/>
        <w:gridCol w:w="2096"/>
        <w:gridCol w:w="1553"/>
        <w:gridCol w:w="2087"/>
      </w:tblGrid>
      <w:tr w:rsidR="002F50D8" w:rsidTr="002F50D8">
        <w:tc>
          <w:tcPr>
            <w:tcW w:w="655" w:type="pct"/>
          </w:tcPr>
          <w:p w:rsidR="002F50D8" w:rsidRDefault="002F50D8" w:rsidP="00441A16">
            <w:pPr>
              <w:pStyle w:val="ConsPlusNormal"/>
              <w:jc w:val="center"/>
            </w:pPr>
            <w:r>
              <w:t>Административный округ</w:t>
            </w:r>
          </w:p>
        </w:tc>
        <w:tc>
          <w:tcPr>
            <w:tcW w:w="638" w:type="pct"/>
          </w:tcPr>
          <w:p w:rsidR="002F50D8" w:rsidRDefault="002F50D8" w:rsidP="00441A16">
            <w:pPr>
              <w:pStyle w:val="ConsPlusNormal"/>
              <w:jc w:val="center"/>
            </w:pPr>
            <w:r>
              <w:t>Район административного округа</w:t>
            </w:r>
          </w:p>
        </w:tc>
        <w:tc>
          <w:tcPr>
            <w:tcW w:w="356" w:type="pct"/>
          </w:tcPr>
          <w:p w:rsidR="002F50D8" w:rsidRDefault="002F50D8" w:rsidP="00441A1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253" w:type="pct"/>
          </w:tcPr>
          <w:p w:rsidR="002F50D8" w:rsidRDefault="002F50D8" w:rsidP="00441A1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333" w:type="pct"/>
          </w:tcPr>
          <w:p w:rsidR="002F50D8" w:rsidRDefault="002F50D8" w:rsidP="00441A1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392" w:type="pct"/>
          </w:tcPr>
          <w:p w:rsidR="002F50D8" w:rsidRDefault="002F50D8" w:rsidP="00441A16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403" w:type="pct"/>
          </w:tcPr>
          <w:p w:rsidR="002F50D8" w:rsidRDefault="002F50D8" w:rsidP="00441A1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753" w:type="pct"/>
          </w:tcPr>
          <w:p w:rsidR="002F50D8" w:rsidRDefault="002F50D8" w:rsidP="00441A16">
            <w:pPr>
              <w:pStyle w:val="ConsPlusNormal"/>
              <w:jc w:val="center"/>
            </w:pPr>
            <w:r>
              <w:t>Объем фактического годового потребления электрической энергии населением и на общедомовые нужды в 2012 году (V гор)</w:t>
            </w:r>
          </w:p>
        </w:tc>
        <w:tc>
          <w:tcPr>
            <w:tcW w:w="494" w:type="pct"/>
          </w:tcPr>
          <w:p w:rsidR="002F50D8" w:rsidRDefault="002F50D8" w:rsidP="00441A16">
            <w:pPr>
              <w:pStyle w:val="ConsPlusNormal"/>
              <w:jc w:val="center"/>
            </w:pPr>
            <w:r>
              <w:t xml:space="preserve">В том числе на общедомовые нужды в 2012 году </w:t>
            </w:r>
            <w:r>
              <w:rPr/>
              <w:t>&lt;2&gt;</w:t>
            </w:r>
          </w:p>
        </w:tc>
        <w:tc>
          <w:tcPr>
            <w:tcW w:w="723" w:type="pct"/>
          </w:tcPr>
          <w:p w:rsidR="002F50D8" w:rsidRDefault="002F50D8" w:rsidP="00441A16">
            <w:pPr>
              <w:pStyle w:val="ConsPlusNormal"/>
            </w:pPr>
            <w:r>
              <w:t xml:space="preserve">Норматив потребления коммунальной услуги по электроснабжению на общедомовые нужды (N </w:t>
            </w:r>
            <w:proofErr w:type="spellStart"/>
            <w:r>
              <w:t>одн</w:t>
            </w:r>
            <w:proofErr w:type="spellEnd"/>
            <w:r>
              <w:t>)</w:t>
            </w:r>
          </w:p>
        </w:tc>
        <w:bookmarkStart w:id="1" w:name="_GoBack"/>
        <w:bookmarkEnd w:id="1"/>
      </w:tr>
      <w:tr w:rsidR="002F50D8" w:rsidTr="002F50D8">
        <w:tc>
          <w:tcPr>
            <w:tcW w:w="655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638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56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25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3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92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40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75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494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72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</w:tr>
      <w:tr w:rsidR="002F50D8" w:rsidTr="002F50D8">
        <w:tc>
          <w:tcPr>
            <w:tcW w:w="655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638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56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25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3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92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40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75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494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72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</w:tr>
      <w:tr w:rsidR="002F50D8" w:rsidTr="002F50D8">
        <w:tc>
          <w:tcPr>
            <w:tcW w:w="655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638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56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25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3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92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40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75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494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72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</w:tr>
      <w:tr w:rsidR="002F50D8" w:rsidTr="002F50D8">
        <w:tc>
          <w:tcPr>
            <w:tcW w:w="655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638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56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25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3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392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40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75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494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  <w:tc>
          <w:tcPr>
            <w:tcW w:w="723" w:type="pct"/>
            <w:vAlign w:val="bottom"/>
          </w:tcPr>
          <w:p w:rsidR="002F50D8" w:rsidRDefault="002F50D8" w:rsidP="00441A16">
            <w:pPr>
              <w:pStyle w:val="ConsPlusNormal"/>
            </w:pPr>
          </w:p>
        </w:tc>
      </w:tr>
    </w:tbl>
    <w:p w:rsidR="002F50D8" w:rsidRDefault="002F50D8" w:rsidP="002F50D8">
      <w:pPr>
        <w:pStyle w:val="ConsPlusNormal"/>
        <w:ind w:firstLine="540"/>
        <w:jc w:val="both"/>
      </w:pPr>
    </w:p>
    <w:p w:rsidR="002F50D8" w:rsidRDefault="002F50D8" w:rsidP="002F50D8">
      <w:pPr>
        <w:pStyle w:val="ConsPlusNormal"/>
        <w:ind w:firstLine="540"/>
        <w:jc w:val="both"/>
      </w:pPr>
      <w:r>
        <w:t>--------------------------------</w:t>
      </w:r>
    </w:p>
    <w:p w:rsidR="002F50D8" w:rsidRDefault="002F50D8" w:rsidP="002F50D8">
      <w:pPr>
        <w:pStyle w:val="ConsPlusNormal"/>
        <w:spacing w:before="240"/>
        <w:ind w:firstLine="540"/>
        <w:jc w:val="both"/>
      </w:pPr>
      <w:bookmarkStart w:id="2" w:name="Par343"/>
      <w:bookmarkEnd w:id="2"/>
      <w:r>
        <w:t>&lt;1&gt; Выборка потребителей электрической энергии (домохозяйства) первой группы, проживающих в жилых помещениях в домах, расположенных в городских населенных пунктах и не оборудованных в установленном порядке стационарными электроплитами для приготовления пищи.</w:t>
      </w:r>
    </w:p>
    <w:p w:rsidR="002F50D8" w:rsidRDefault="002F50D8" w:rsidP="002F50D8">
      <w:pPr>
        <w:pStyle w:val="ConsPlusNormal"/>
        <w:spacing w:before="240"/>
        <w:ind w:firstLine="540"/>
        <w:jc w:val="both"/>
      </w:pPr>
      <w:bookmarkStart w:id="3" w:name="Par344"/>
      <w:bookmarkEnd w:id="3"/>
      <w:r>
        <w:t>&lt;2</w:t>
      </w:r>
      <w:proofErr w:type="gramStart"/>
      <w:r>
        <w:t>&gt; В</w:t>
      </w:r>
      <w:proofErr w:type="gramEnd"/>
      <w:r>
        <w:t xml:space="preserve">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нужды.</w:t>
      </w:r>
    </w:p>
    <w:p w:rsidR="002F50D8" w:rsidRDefault="002F50D8" w:rsidP="002F50D8">
      <w:pPr>
        <w:pStyle w:val="ConsPlusNormal"/>
        <w:ind w:firstLine="540"/>
        <w:jc w:val="both"/>
      </w:pPr>
    </w:p>
    <w:p w:rsidR="00886B35" w:rsidRDefault="00886B35"/>
    <w:sectPr w:rsidR="00886B35" w:rsidSect="002F5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8"/>
    <w:rsid w:val="002F50D8"/>
    <w:rsid w:val="00886B35"/>
    <w:rsid w:val="00A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2019-01-24T14:46:00Z</dcterms:created>
  <dcterms:modified xsi:type="dcterms:W3CDTF">2019-01-24T14:57:00Z</dcterms:modified>
</cp:coreProperties>
</file>