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6F" w:rsidRDefault="00D03C6F" w:rsidP="00D03C6F">
      <w:pPr>
        <w:pStyle w:val="ConsPlusNormal"/>
        <w:jc w:val="right"/>
        <w:outlineLvl w:val="1"/>
      </w:pPr>
      <w:r>
        <w:t>Приложение N 3</w:t>
      </w:r>
    </w:p>
    <w:p w:rsidR="00D03C6F" w:rsidRDefault="00D03C6F" w:rsidP="00D03C6F">
      <w:pPr>
        <w:pStyle w:val="ConsPlusNormal"/>
        <w:jc w:val="right"/>
      </w:pPr>
      <w:r>
        <w:t>к Методическим указаниям</w:t>
      </w:r>
    </w:p>
    <w:p w:rsidR="00D03C6F" w:rsidRDefault="00D03C6F" w:rsidP="00D03C6F">
      <w:pPr>
        <w:pStyle w:val="ConsPlusNormal"/>
        <w:jc w:val="right"/>
      </w:pPr>
      <w:r>
        <w:t>по расчету предельных индексов</w:t>
      </w:r>
    </w:p>
    <w:p w:rsidR="00D03C6F" w:rsidRDefault="00D03C6F" w:rsidP="00D03C6F">
      <w:pPr>
        <w:pStyle w:val="ConsPlusNormal"/>
        <w:jc w:val="right"/>
      </w:pPr>
      <w:r>
        <w:t>изменения размера платы граждан</w:t>
      </w:r>
    </w:p>
    <w:p w:rsidR="00D03C6F" w:rsidRDefault="00D03C6F" w:rsidP="00D03C6F">
      <w:pPr>
        <w:pStyle w:val="ConsPlusNormal"/>
        <w:jc w:val="right"/>
      </w:pPr>
      <w:r>
        <w:t>за коммунальные услуги, утвержденным</w:t>
      </w:r>
    </w:p>
    <w:p w:rsidR="00D03C6F" w:rsidRDefault="00D03C6F" w:rsidP="00D03C6F">
      <w:pPr>
        <w:pStyle w:val="ConsPlusNormal"/>
        <w:jc w:val="right"/>
      </w:pPr>
      <w:r>
        <w:t>Приказом Министерства регионального</w:t>
      </w:r>
    </w:p>
    <w:p w:rsidR="00D03C6F" w:rsidRDefault="00D03C6F" w:rsidP="00D03C6F">
      <w:pPr>
        <w:pStyle w:val="ConsPlusNormal"/>
        <w:jc w:val="right"/>
      </w:pPr>
      <w:r>
        <w:t>развития Российской Федерации</w:t>
      </w:r>
    </w:p>
    <w:p w:rsidR="00D03C6F" w:rsidRDefault="00D03C6F" w:rsidP="00D03C6F">
      <w:pPr>
        <w:pStyle w:val="ConsPlusNormal"/>
        <w:jc w:val="right"/>
      </w:pPr>
      <w:r>
        <w:t>от 23 августа 2010 г. N 378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jc w:val="center"/>
      </w:pPr>
      <w:bookmarkStart w:id="0" w:name="Par338"/>
      <w:bookmarkEnd w:id="0"/>
      <w:r>
        <w:t>ПРИМЕР</w:t>
      </w:r>
    </w:p>
    <w:p w:rsidR="00D03C6F" w:rsidRDefault="00D03C6F" w:rsidP="00D03C6F">
      <w:pPr>
        <w:pStyle w:val="ConsPlusNormal"/>
        <w:jc w:val="center"/>
      </w:pPr>
      <w:r>
        <w:t>РАСЧЕТА ИНДЕКСА ИЗМЕНЕНИЯ РАЗМЕРА ПЛАТЫ ГРАЖДАН</w:t>
      </w:r>
    </w:p>
    <w:p w:rsidR="00D03C6F" w:rsidRDefault="00D03C6F" w:rsidP="00D03C6F">
      <w:pPr>
        <w:pStyle w:val="ConsPlusNormal"/>
        <w:jc w:val="center"/>
      </w:pPr>
      <w:r>
        <w:t>ЗА КОММУНАЛЬНЫЕ УСЛУГИ НА 2011 ГОД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</w:pPr>
      <w:r>
        <w:t>Рассмотрено муниципальное образование с общей прогнозируемой численностью населения - 12022 человека. Из них проживает в 60 многоквартирных домах 11702 человека и 105 жилых домах - 320 человек. В 15 многоквартирных домах (25% их общего числа) установлены приборы учета.</w:t>
      </w:r>
    </w:p>
    <w:p w:rsidR="00D03C6F" w:rsidRDefault="00D03C6F" w:rsidP="00D03C6F">
      <w:pPr>
        <w:pStyle w:val="ConsPlusNormal"/>
        <w:ind w:firstLine="540"/>
        <w:jc w:val="both"/>
      </w:pPr>
      <w:r>
        <w:t>На согласование в орган регулирования субъекта Российской Федерации представляются предложения органа местного самоуправления по предельному индексу изменения размера платы граждан за коммунальные услуги в размере 1,18, который определен как отношение прогнозируемой совокупной платы населения за коммунальные услуги 142060,8 тыс. руб. (см. раздел 1 Приложения к Методическим указаниям), к совокупной плате населения за коммунальные услуги в текущем периоде регулирования - 2010 г. (120390,5 тыс. рублей).</w:t>
      </w:r>
    </w:p>
    <w:p w:rsidR="00D03C6F" w:rsidRDefault="00D03C6F" w:rsidP="00D03C6F">
      <w:pPr>
        <w:pStyle w:val="ConsPlusNormal"/>
        <w:ind w:firstLine="540"/>
        <w:jc w:val="both"/>
      </w:pPr>
      <w:r>
        <w:t>Оценка доступности для граждан совокупной платы за потребляемые коммунальные услуги, определенной с учетом проектов тарифов на 2011 год, проводится в соответствии с Методическими указаниями в следующей последовательности:</w:t>
      </w:r>
    </w:p>
    <w:p w:rsidR="00D03C6F" w:rsidRDefault="00D03C6F" w:rsidP="00D03C6F">
      <w:pPr>
        <w:pStyle w:val="ConsPlusNormal"/>
        <w:ind w:firstLine="540"/>
        <w:jc w:val="both"/>
      </w:pPr>
      <w:r>
        <w:t>1. Определение прогнозируемой совокупной платы граждан за коммунальные услуги с учетом различных вариантов благоустройства многоквартирных домов и жилых домов, а также наличия в них приборов учета.</w:t>
      </w:r>
    </w:p>
    <w:p w:rsidR="00D03C6F" w:rsidRDefault="00D03C6F" w:rsidP="00D03C6F">
      <w:pPr>
        <w:pStyle w:val="ConsPlusNormal"/>
        <w:ind w:firstLine="540"/>
        <w:jc w:val="both"/>
      </w:pPr>
      <w:r>
        <w:t>2. Определение критериев доступности:</w:t>
      </w:r>
    </w:p>
    <w:p w:rsidR="00D03C6F" w:rsidRDefault="00D03C6F" w:rsidP="00D03C6F">
      <w:pPr>
        <w:pStyle w:val="ConsPlusNormal"/>
        <w:ind w:firstLine="540"/>
        <w:jc w:val="both"/>
      </w:pPr>
      <w:r>
        <w:t>- доля расходов на коммунальные услуги в совокупном доходе средней семьи;</w:t>
      </w:r>
    </w:p>
    <w:p w:rsidR="00D03C6F" w:rsidRDefault="00D03C6F" w:rsidP="00D03C6F">
      <w:pPr>
        <w:pStyle w:val="ConsPlusNormal"/>
        <w:ind w:firstLine="540"/>
        <w:jc w:val="both"/>
      </w:pPr>
      <w:r>
        <w:t>- доля населения с доходами ниже прожиточного минимума;</w:t>
      </w:r>
    </w:p>
    <w:p w:rsidR="00D03C6F" w:rsidRDefault="00D03C6F" w:rsidP="00D03C6F">
      <w:pPr>
        <w:pStyle w:val="ConsPlusNormal"/>
        <w:ind w:firstLine="540"/>
        <w:jc w:val="both"/>
      </w:pPr>
      <w:r>
        <w:t>- уровень собираемости платежей за коммунальные услуги;</w:t>
      </w:r>
    </w:p>
    <w:p w:rsidR="00D03C6F" w:rsidRDefault="00D03C6F" w:rsidP="00D03C6F">
      <w:pPr>
        <w:pStyle w:val="ConsPlusNormal"/>
        <w:ind w:firstLine="540"/>
        <w:jc w:val="both"/>
      </w:pPr>
      <w:r>
        <w:t>- доля получателей субсидий на оплату коммунальных услуг в общей численности населения.</w:t>
      </w:r>
    </w:p>
    <w:p w:rsidR="00D03C6F" w:rsidRDefault="00D03C6F" w:rsidP="00D03C6F">
      <w:pPr>
        <w:pStyle w:val="ConsPlusNormal"/>
        <w:ind w:firstLine="540"/>
        <w:jc w:val="both"/>
      </w:pPr>
      <w:r>
        <w:t>Для проведения расчетов используется следующая исходная информация:</w:t>
      </w:r>
    </w:p>
    <w:p w:rsidR="00D03C6F" w:rsidRDefault="00D03C6F" w:rsidP="00D03C6F">
      <w:pPr>
        <w:pStyle w:val="ConsPlusNormal"/>
        <w:ind w:firstLine="540"/>
        <w:jc w:val="both"/>
      </w:pPr>
      <w:r>
        <w:t>численность населения с доходами ниже прожиточного минимума - 1300 чел.;</w:t>
      </w:r>
    </w:p>
    <w:p w:rsidR="00D03C6F" w:rsidRDefault="00D03C6F" w:rsidP="00D03C6F">
      <w:pPr>
        <w:pStyle w:val="ConsPlusNormal"/>
        <w:ind w:firstLine="540"/>
        <w:jc w:val="both"/>
      </w:pPr>
      <w:r>
        <w:t>общая площадь жилых помещений - 270 тысяч квадратных метров;</w:t>
      </w:r>
    </w:p>
    <w:p w:rsidR="00D03C6F" w:rsidRDefault="00D03C6F" w:rsidP="00D03C6F">
      <w:pPr>
        <w:pStyle w:val="ConsPlusNormal"/>
        <w:ind w:firstLine="540"/>
        <w:jc w:val="both"/>
      </w:pPr>
      <w:r>
        <w:t>среднедушевые доходы населения - 14 500 рублей на человека в месяц;</w:t>
      </w:r>
    </w:p>
    <w:p w:rsidR="00D03C6F" w:rsidRDefault="00D03C6F" w:rsidP="00D03C6F">
      <w:pPr>
        <w:pStyle w:val="ConsPlusNormal"/>
        <w:ind w:firstLine="540"/>
        <w:jc w:val="both"/>
      </w:pPr>
      <w:r>
        <w:t>прожиточный минимум - 6 100 рублей на человека в месяц.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  <w:outlineLvl w:val="2"/>
      </w:pPr>
      <w:r>
        <w:t>1. Определение прогнозируемой совокупной платы граждан за коммунальные услуги с учетом различных вариантов благоустройства многоквартирных домов и жилых домов, а также наличия в них приборов учета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  <w:outlineLvl w:val="3"/>
      </w:pPr>
      <w:r>
        <w:t>1.1. Расчет прогнозируемой платы граждан, проживающих в многоквартирных домах, оборудованных приборами учета</w:t>
      </w:r>
    </w:p>
    <w:p w:rsidR="00D03C6F" w:rsidRDefault="00D03C6F" w:rsidP="00D03C6F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57"/>
        <w:gridCol w:w="1053"/>
        <w:gridCol w:w="936"/>
        <w:gridCol w:w="1053"/>
        <w:gridCol w:w="936"/>
        <w:gridCol w:w="936"/>
        <w:gridCol w:w="1170"/>
        <w:gridCol w:w="1053"/>
      </w:tblGrid>
      <w:tr w:rsidR="00D03C6F" w:rsidTr="00991C76">
        <w:trPr>
          <w:trHeight w:val="248"/>
        </w:trPr>
        <w:tc>
          <w:tcPr>
            <w:tcW w:w="2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Число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жителей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в доме,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чел.  </w:t>
            </w:r>
          </w:p>
        </w:tc>
        <w:tc>
          <w:tcPr>
            <w:tcW w:w="60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   Усредненный объем потребления        </w:t>
            </w:r>
          </w:p>
        </w:tc>
      </w:tr>
      <w:tr w:rsidR="00D03C6F" w:rsidTr="00991C76">
        <w:tc>
          <w:tcPr>
            <w:tcW w:w="2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rmal"/>
              <w:ind w:firstLine="540"/>
              <w:jc w:val="both"/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rmal"/>
              <w:ind w:firstLine="540"/>
              <w:jc w:val="both"/>
            </w:pPr>
          </w:p>
        </w:tc>
        <w:tc>
          <w:tcPr>
            <w:tcW w:w="198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водоснабжение,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куб. м     </w:t>
            </w:r>
          </w:p>
        </w:tc>
        <w:tc>
          <w:tcPr>
            <w:tcW w:w="93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водо-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отве-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дение,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куб.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м     </w:t>
            </w:r>
          </w:p>
        </w:tc>
        <w:tc>
          <w:tcPr>
            <w:tcW w:w="93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отоп-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ление,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Гкал  </w:t>
            </w:r>
          </w:p>
        </w:tc>
        <w:tc>
          <w:tcPr>
            <w:tcW w:w="117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электро-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снабже-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ние, 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тыс. кв.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т      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газо-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снабже-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ние,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куб. м </w:t>
            </w:r>
          </w:p>
        </w:tc>
      </w:tr>
      <w:tr w:rsidR="00D03C6F" w:rsidTr="00991C76">
        <w:tc>
          <w:tcPr>
            <w:tcW w:w="2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rmal"/>
              <w:ind w:firstLine="540"/>
              <w:jc w:val="both"/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rmal"/>
              <w:ind w:firstLine="540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ХВС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ГВС  </w:t>
            </w: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</w:p>
        </w:tc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</w:p>
        </w:tc>
      </w:tr>
      <w:tr w:rsidR="00D03C6F" w:rsidTr="00991C76">
        <w:trPr>
          <w:trHeight w:val="248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    1    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2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3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4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5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6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7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8   </w:t>
            </w:r>
          </w:p>
        </w:tc>
      </w:tr>
      <w:tr w:rsidR="00D03C6F" w:rsidTr="00991C76">
        <w:trPr>
          <w:trHeight w:val="248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N 1 (электроплиты)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180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5084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6200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10720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702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280,8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0   </w:t>
            </w:r>
          </w:p>
        </w:tc>
      </w:tr>
      <w:tr w:rsidR="00D03C6F" w:rsidTr="00991C76">
        <w:trPr>
          <w:trHeight w:val="248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lastRenderedPageBreak/>
              <w:t xml:space="preserve">N 2 (электроплиты)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150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4590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5292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9490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605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239,4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0   </w:t>
            </w:r>
          </w:p>
        </w:tc>
      </w:tr>
      <w:tr w:rsidR="00D03C6F" w:rsidTr="00991C76">
        <w:trPr>
          <w:trHeight w:val="248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N 3 (газовые плиты)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162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4782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5132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9670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680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126,36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12150 </w:t>
            </w:r>
          </w:p>
        </w:tc>
      </w:tr>
      <w:tr w:rsidR="00D03C6F" w:rsidTr="00991C76">
        <w:trPr>
          <w:trHeight w:val="248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N 4 (газовые плиты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и колонки)    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85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4773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4582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374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69,36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22500 </w:t>
            </w:r>
          </w:p>
        </w:tc>
      </w:tr>
      <w:tr w:rsidR="00D03C6F" w:rsidTr="00991C76">
        <w:trPr>
          <w:trHeight w:val="248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N 5 (электроплиты)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165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4870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5940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10270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644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267,3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0   </w:t>
            </w:r>
          </w:p>
        </w:tc>
      </w:tr>
      <w:tr w:rsidR="00D03C6F" w:rsidTr="00991C76">
        <w:trPr>
          <w:trHeight w:val="248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N 6 (газовые плиты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и колонки)    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72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3583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3510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317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60,48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17640 </w:t>
            </w:r>
          </w:p>
        </w:tc>
      </w:tr>
      <w:tr w:rsidR="00D03C6F" w:rsidTr="00991C76">
        <w:trPr>
          <w:trHeight w:val="248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N 7 (электроплиты)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210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6577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7710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13715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770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352,8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0   </w:t>
            </w:r>
          </w:p>
        </w:tc>
      </w:tr>
      <w:tr w:rsidR="00D03C6F" w:rsidTr="00991C76">
        <w:trPr>
          <w:trHeight w:val="248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N 8 (газовые плиты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и колонки)    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58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3632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3598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260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49,416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15660 </w:t>
            </w:r>
          </w:p>
        </w:tc>
      </w:tr>
      <w:tr w:rsidR="00D03C6F" w:rsidTr="00991C76">
        <w:trPr>
          <w:trHeight w:val="248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N 9 (газовые плиты)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155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4520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5300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9790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590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128,34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11160 </w:t>
            </w:r>
          </w:p>
        </w:tc>
      </w:tr>
      <w:tr w:rsidR="00D03C6F" w:rsidTr="00991C76">
        <w:trPr>
          <w:trHeight w:val="248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N 10 (газовые плиты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и колонки)    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64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3732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3550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278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57,6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17920 </w:t>
            </w:r>
          </w:p>
        </w:tc>
      </w:tr>
      <w:tr w:rsidR="00D03C6F" w:rsidTr="00991C76">
        <w:trPr>
          <w:trHeight w:val="248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N 11 (электроплиты)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120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3370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4320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7304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470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200,16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0   </w:t>
            </w:r>
          </w:p>
        </w:tc>
      </w:tr>
      <w:tr w:rsidR="00D03C6F" w:rsidTr="00991C76">
        <w:trPr>
          <w:trHeight w:val="248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N 12 (газовые   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плиты)        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112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3385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3870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7245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459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95,424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8740 </w:t>
            </w:r>
          </w:p>
        </w:tc>
      </w:tr>
      <w:tr w:rsidR="00D03C6F" w:rsidTr="00991C76">
        <w:trPr>
          <w:trHeight w:val="248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N 13 (газовые плиты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и колонки)    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48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3127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3030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216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44,352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12720 </w:t>
            </w:r>
          </w:p>
        </w:tc>
      </w:tr>
      <w:tr w:rsidR="00D03C6F" w:rsidTr="00991C76">
        <w:trPr>
          <w:trHeight w:val="248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N 14 (газовые   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плиты)        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112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3410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3620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6615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475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91,392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8400 </w:t>
            </w:r>
          </w:p>
        </w:tc>
      </w:tr>
      <w:tr w:rsidR="00D03C6F" w:rsidTr="00991C76">
        <w:trPr>
          <w:trHeight w:val="248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N 15 (газовые плиты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и колонки)    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94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5179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5180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395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73,32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24400 </w:t>
            </w:r>
          </w:p>
        </w:tc>
      </w:tr>
      <w:tr w:rsidR="00D03C6F" w:rsidTr="00991C76">
        <w:trPr>
          <w:trHeight w:val="248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ИТОГО          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1787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64614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47384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108269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7235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2136,504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151290</w:t>
            </w:r>
          </w:p>
        </w:tc>
      </w:tr>
    </w:tbl>
    <w:p w:rsidR="00D03C6F" w:rsidRDefault="00D03C6F" w:rsidP="00D03C6F">
      <w:pPr>
        <w:pStyle w:val="ConsPlusNormal"/>
        <w:jc w:val="both"/>
      </w:pPr>
    </w:p>
    <w:p w:rsidR="00D03C6F" w:rsidRDefault="00D03C6F" w:rsidP="00D03C6F">
      <w:pPr>
        <w:pStyle w:val="ConsPlusNormal"/>
        <w:jc w:val="right"/>
      </w:pPr>
      <w:r>
        <w:t>Продолжение расчета</w:t>
      </w:r>
    </w:p>
    <w:p w:rsidR="00D03C6F" w:rsidRDefault="00D03C6F" w:rsidP="00D03C6F">
      <w:pPr>
        <w:pStyle w:val="ConsPlusNormal"/>
        <w:jc w:val="right"/>
      </w:pPr>
    </w:p>
    <w:tbl>
      <w:tblPr>
        <w:tblW w:w="0" w:type="auto"/>
        <w:tblInd w:w="40" w:type="dxa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05"/>
        <w:gridCol w:w="573"/>
        <w:gridCol w:w="573"/>
        <w:gridCol w:w="573"/>
        <w:gridCol w:w="670"/>
        <w:gridCol w:w="670"/>
        <w:gridCol w:w="670"/>
        <w:gridCol w:w="685"/>
        <w:gridCol w:w="684"/>
        <w:gridCol w:w="684"/>
        <w:gridCol w:w="784"/>
        <w:gridCol w:w="784"/>
        <w:gridCol w:w="684"/>
      </w:tblGrid>
      <w:tr w:rsidR="00D03C6F" w:rsidTr="00D03C6F">
        <w:trPr>
          <w:trHeight w:val="21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тарифов, руб./единицу измерения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Прогнозируемая плата за коммунальные услуги,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тыс. руб.                  </w:t>
            </w:r>
          </w:p>
        </w:tc>
      </w:tr>
      <w:tr w:rsidR="00D03C6F" w:rsidTr="00D03C6F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rmal"/>
              <w:jc w:val="right"/>
            </w:pPr>
          </w:p>
        </w:tc>
        <w:tc>
          <w:tcPr>
            <w:tcW w:w="0" w:type="auto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водо-     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снабжение  </w:t>
            </w:r>
          </w:p>
        </w:tc>
        <w:tc>
          <w:tcPr>
            <w:tcW w:w="0" w:type="auto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водо-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отве-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дение</w:t>
            </w:r>
          </w:p>
        </w:tc>
        <w:tc>
          <w:tcPr>
            <w:tcW w:w="0" w:type="auto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отоп-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ление,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Гкал  </w:t>
            </w:r>
          </w:p>
        </w:tc>
        <w:tc>
          <w:tcPr>
            <w:tcW w:w="0" w:type="auto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элек-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тро- 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снаб-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жение,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тыс. 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кв.т  </w:t>
            </w:r>
          </w:p>
        </w:tc>
        <w:tc>
          <w:tcPr>
            <w:tcW w:w="0" w:type="auto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газо-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снаб-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жение,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куб. 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     </w:t>
            </w:r>
          </w:p>
        </w:tc>
        <w:tc>
          <w:tcPr>
            <w:tcW w:w="0" w:type="auto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водоснабжение </w:t>
            </w:r>
          </w:p>
        </w:tc>
        <w:tc>
          <w:tcPr>
            <w:tcW w:w="0" w:type="auto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водо-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отве-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дение </w:t>
            </w:r>
          </w:p>
        </w:tc>
        <w:tc>
          <w:tcPr>
            <w:tcW w:w="0" w:type="auto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отоп- 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ление,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кал    </w:t>
            </w:r>
          </w:p>
        </w:tc>
        <w:tc>
          <w:tcPr>
            <w:tcW w:w="0" w:type="auto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элек- 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тро-  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снабже-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ние,  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тыс.  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кв.т   </w:t>
            </w:r>
          </w:p>
        </w:tc>
        <w:tc>
          <w:tcPr>
            <w:tcW w:w="0" w:type="auto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газо-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снаб-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жение,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куб. 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     </w:t>
            </w:r>
          </w:p>
        </w:tc>
        <w:bookmarkStart w:id="1" w:name="_GoBack"/>
        <w:bookmarkEnd w:id="1"/>
      </w:tr>
      <w:tr w:rsidR="00D03C6F" w:rsidTr="00D03C6F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rmal"/>
              <w:jc w:val="right"/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ХВС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ГВС 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ХВС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ГВС 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</w:tr>
      <w:tr w:rsidR="00D03C6F" w:rsidTr="00D03C6F">
        <w:trPr>
          <w:trHeight w:val="21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       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11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12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13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14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15 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16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17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18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19 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20  </w:t>
            </w:r>
          </w:p>
        </w:tc>
      </w:tr>
      <w:tr w:rsidR="00D03C6F" w:rsidTr="00D03C6F">
        <w:trPr>
          <w:trHeight w:val="21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1 (электроплиты)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88,91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1340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2,4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102,49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551,24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196,93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940,68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673,92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0,00 </w:t>
            </w:r>
          </w:p>
        </w:tc>
      </w:tr>
      <w:tr w:rsidR="00D03C6F" w:rsidTr="00D03C6F">
        <w:trPr>
          <w:trHeight w:val="21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2 (электроплиты)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88,91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1340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2,4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92,53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470,51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174,33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810,70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574,56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0,00 </w:t>
            </w:r>
          </w:p>
        </w:tc>
      </w:tr>
      <w:tr w:rsidR="00D03C6F" w:rsidTr="00D03C6F">
        <w:trPr>
          <w:trHeight w:val="21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3 (газовые плиты)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88,91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1340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3,2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3,42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96,41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456,29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177,64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911,20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404,35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41,55 </w:t>
            </w:r>
          </w:p>
        </w:tc>
      </w:tr>
      <w:tr w:rsidR="00D03C6F" w:rsidTr="00D03C6F">
        <w:trPr>
          <w:trHeight w:val="21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4 (газовые плиты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колонки)       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1340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3,2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3,42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96,22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84,17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501,16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221,95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76,95 </w:t>
            </w:r>
          </w:p>
        </w:tc>
      </w:tr>
      <w:tr w:rsidR="00D03C6F" w:rsidTr="00D03C6F">
        <w:trPr>
          <w:trHeight w:val="21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5 (электроплиты)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88,91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1340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2,4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98,18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528,13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188,66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862,96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641,52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0,00 </w:t>
            </w:r>
          </w:p>
        </w:tc>
      </w:tr>
      <w:tr w:rsidR="00D03C6F" w:rsidTr="00D03C6F">
        <w:trPr>
          <w:trHeight w:val="21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6 (газовые плиты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колонки)       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1340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3,2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3,42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72,23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64,48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424,78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193,54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60,33 </w:t>
            </w:r>
          </w:p>
        </w:tc>
      </w:tr>
      <w:tr w:rsidR="00D03C6F" w:rsidTr="00D03C6F">
        <w:trPr>
          <w:trHeight w:val="21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N 7 (электроплиты)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88,91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1340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2,4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132,59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685,50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251,94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1031,80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846,72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0,00 </w:t>
            </w:r>
          </w:p>
        </w:tc>
      </w:tr>
      <w:tr w:rsidR="00D03C6F" w:rsidTr="00D03C6F">
        <w:trPr>
          <w:trHeight w:val="21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8 (газовые плиты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колонки)       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1340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3,2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3,42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73,22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66,10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348,40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158,13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53,56 </w:t>
            </w:r>
          </w:p>
        </w:tc>
      </w:tr>
      <w:tr w:rsidR="00D03C6F" w:rsidTr="00D03C6F">
        <w:trPr>
          <w:trHeight w:val="21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9 (газовые плиты)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88,91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1340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3,2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3,42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91,12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471,22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179,84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790,60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410,69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38,17 </w:t>
            </w:r>
          </w:p>
        </w:tc>
      </w:tr>
      <w:tr w:rsidR="00D03C6F" w:rsidTr="00D03C6F">
        <w:trPr>
          <w:trHeight w:val="21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10 (газовые плиты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колонки)       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1340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3,2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3,42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75,24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65,21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372,52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184,32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61,29 </w:t>
            </w:r>
          </w:p>
        </w:tc>
      </w:tr>
      <w:tr w:rsidR="00D03C6F" w:rsidTr="00D03C6F">
        <w:trPr>
          <w:trHeight w:val="21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11 (электроплиты)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88,91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1340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2,4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67,94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384,09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134,17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629,80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480,38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0,00 </w:t>
            </w:r>
          </w:p>
        </w:tc>
      </w:tr>
      <w:tr w:rsidR="00D03C6F" w:rsidTr="00D03C6F">
        <w:trPr>
          <w:trHeight w:val="21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12 (газовые     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плиты)           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88,91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1340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3,2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3,42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68,24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344,08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133,09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615,06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305,36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29,89 </w:t>
            </w:r>
          </w:p>
        </w:tc>
      </w:tr>
      <w:tr w:rsidR="00D03C6F" w:rsidTr="00D03C6F">
        <w:trPr>
          <w:trHeight w:val="21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13 (газовые плиты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колонки)       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1340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3,2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3,42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63,04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55,66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289,44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141,93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43,50 </w:t>
            </w:r>
          </w:p>
        </w:tc>
      </w:tr>
      <w:tr w:rsidR="00D03C6F" w:rsidTr="00D03C6F">
        <w:trPr>
          <w:trHeight w:val="21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14 (газовые     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плиты)           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88,91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1340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3,2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3,42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68,75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321,85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121,52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636,50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292,45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28,73 </w:t>
            </w:r>
          </w:p>
        </w:tc>
      </w:tr>
      <w:tr w:rsidR="00D03C6F" w:rsidTr="00D03C6F">
        <w:trPr>
          <w:trHeight w:val="21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15(газовые плиты </w:t>
            </w:r>
          </w:p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колонки)       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1340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3,2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3,42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104,41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0,00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95,16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529,30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234,62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83,45 </w:t>
            </w:r>
          </w:p>
        </w:tc>
      </w:tr>
      <w:tr w:rsidR="00D03C6F" w:rsidTr="00D03C6F">
        <w:trPr>
          <w:trHeight w:val="213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20,16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88,91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1340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3,42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532,15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594,77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657,40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720,03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782,65 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845,28</w:t>
            </w:r>
          </w:p>
        </w:tc>
      </w:tr>
    </w:tbl>
    <w:p w:rsidR="00D03C6F" w:rsidRDefault="00D03C6F" w:rsidP="00D03C6F">
      <w:pPr>
        <w:pStyle w:val="ConsPlusNormal"/>
        <w:jc w:val="both"/>
      </w:pPr>
    </w:p>
    <w:p w:rsidR="00D03C6F" w:rsidRDefault="00D03C6F" w:rsidP="00D03C6F">
      <w:pPr>
        <w:pStyle w:val="ConsPlusNormal"/>
        <w:ind w:firstLine="540"/>
        <w:jc w:val="both"/>
      </w:pPr>
      <w:r>
        <w:t>Прогнозируемая на 2011 год плата граждан, проживающих в многоквартирных домах (жилых домах), оборудованных приборами учета, составит 23586,2 тысяч рублей.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  <w:outlineLvl w:val="3"/>
      </w:pPr>
      <w:r>
        <w:t>1.2. Расчет прогнозируемой платы граждан, проживающих в многоквартирных домах с централизованным горячим и холодным водоснабжением, водоотведением, теплоснабжением на нужды отопления, газовыми плитами, не оборудованных приборами учета</w:t>
      </w:r>
    </w:p>
    <w:p w:rsidR="00D03C6F" w:rsidRDefault="00D03C6F" w:rsidP="00D03C6F">
      <w:pPr>
        <w:pStyle w:val="ConsPlusNormal"/>
        <w:ind w:firstLine="540"/>
        <w:jc w:val="both"/>
      </w:pPr>
      <w:r>
        <w:t>Численность населения в этих домах - 4320 человек</w:t>
      </w:r>
    </w:p>
    <w:p w:rsidR="00D03C6F" w:rsidRDefault="00D03C6F" w:rsidP="00D03C6F">
      <w:pPr>
        <w:pStyle w:val="ConsPlusNormal"/>
        <w:ind w:firstLine="540"/>
        <w:jc w:val="both"/>
      </w:pPr>
      <w:r>
        <w:t>Общая площадь жилых помещений - 97200 квадратных метров</w:t>
      </w:r>
    </w:p>
    <w:p w:rsidR="00D03C6F" w:rsidRDefault="00D03C6F" w:rsidP="00D03C6F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23"/>
        <w:gridCol w:w="1755"/>
        <w:gridCol w:w="1287"/>
        <w:gridCol w:w="1170"/>
        <w:gridCol w:w="1053"/>
        <w:gridCol w:w="1872"/>
      </w:tblGrid>
      <w:tr w:rsidR="00D03C6F" w:rsidTr="00991C76">
        <w:trPr>
          <w:trHeight w:val="248"/>
        </w:trPr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Виды услуг   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Установленные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нормативы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потребления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коммунальных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 услуг    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Ед.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измерения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Проект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тарифов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Ед. из-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мерения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Прогнозируемая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плата за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коммунальные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 услуги,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тыс. руб.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холодное      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водоснабжение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90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л/чел. в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сутки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20,16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куб. м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2860,9  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горячее       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водоснабжение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105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л/чел. в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сутки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88,91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куб. м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13913,7 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водоотведение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195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л/чел. в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сутки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18,37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куб. м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5648,3  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отопление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0,17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Гкал/кв.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м в год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1340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Гкал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22142,2 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электроснабжение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70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кВт·ч на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чел. в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месяц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3,2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кВт·ч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11612,2 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газоснабжение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 6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куб. м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на чел. в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месяц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3,42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куб. м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1063,8    </w:t>
            </w:r>
          </w:p>
        </w:tc>
      </w:tr>
    </w:tbl>
    <w:p w:rsidR="00D03C6F" w:rsidRDefault="00D03C6F" w:rsidP="00D03C6F">
      <w:pPr>
        <w:pStyle w:val="ConsPlusNormal"/>
        <w:jc w:val="both"/>
      </w:pPr>
    </w:p>
    <w:p w:rsidR="00D03C6F" w:rsidRDefault="00D03C6F" w:rsidP="00D03C6F">
      <w:pPr>
        <w:pStyle w:val="ConsPlusNormal"/>
        <w:ind w:firstLine="540"/>
        <w:jc w:val="both"/>
      </w:pPr>
      <w:r>
        <w:t xml:space="preserve">Прогнозируемая на 2011 год плата граждан, проживающих в многоквартирных домах с централизованным горячим и холодным водоснабжением, водоотведением, теплоснабжением на нужды </w:t>
      </w:r>
      <w:r>
        <w:lastRenderedPageBreak/>
        <w:t>отопления, газовыми плитами, не оборудованных приборами учета, составит 57241,1 тысяч рублей.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  <w:outlineLvl w:val="3"/>
      </w:pPr>
      <w:r>
        <w:t>1.3. Расчет прогнозируемой платы граждан, проживающих в многоквартирных домах с централизованным холодным водоснабжением, водоотведением, теплоснабжением на нужды отопления, газовыми водонагревателями и газовыми плитами, не оборудованных приборами учета</w:t>
      </w:r>
    </w:p>
    <w:p w:rsidR="00D03C6F" w:rsidRDefault="00D03C6F" w:rsidP="00D03C6F">
      <w:pPr>
        <w:pStyle w:val="ConsPlusNormal"/>
        <w:ind w:firstLine="540"/>
        <w:jc w:val="both"/>
      </w:pPr>
      <w:r>
        <w:t>Численность населения в этих домах - 3350 человек</w:t>
      </w:r>
    </w:p>
    <w:p w:rsidR="00D03C6F" w:rsidRDefault="00D03C6F" w:rsidP="00D03C6F">
      <w:pPr>
        <w:pStyle w:val="ConsPlusNormal"/>
        <w:ind w:firstLine="540"/>
        <w:jc w:val="both"/>
      </w:pPr>
      <w:r>
        <w:t>Общая площадь жилых помещений - 73369 квадратных метров</w:t>
      </w:r>
    </w:p>
    <w:p w:rsidR="00D03C6F" w:rsidRDefault="00D03C6F" w:rsidP="00D03C6F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23"/>
        <w:gridCol w:w="1755"/>
        <w:gridCol w:w="1287"/>
        <w:gridCol w:w="1170"/>
        <w:gridCol w:w="1053"/>
        <w:gridCol w:w="1872"/>
      </w:tblGrid>
      <w:tr w:rsidR="00D03C6F" w:rsidTr="00991C76">
        <w:trPr>
          <w:trHeight w:val="248"/>
        </w:trPr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Виды услуг   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Установленные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нормативы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потребления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коммунальных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 услуг    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Ед.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измерения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Проект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тарифов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Ед. из-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мерения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Прогнозируемая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плата за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коммунальные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 услуги,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тыс. руб.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холодное      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водоснабжение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160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л/чел. в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сутки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20,16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куб. м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3944,1  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водоотведение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160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л/чел. в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сутки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18,37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куб. м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3397,0  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отопление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0,17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Гкал/кв.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м в год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1340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Гкал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278,5  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электроснабжение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70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кВт·ч на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чел. в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месяц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3,2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кВт·ч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16434,7 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газоснабжение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22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куб. м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на чел. в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месяц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3,42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куб. м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3024,6    </w:t>
            </w:r>
          </w:p>
        </w:tc>
      </w:tr>
    </w:tbl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</w:pPr>
      <w:r>
        <w:t>Прогнозируемая на 2011 год плата граждан, проживающих в многоквартирных домах с централизованным холодным водоснабжением, водоотведением, теплоснабжением на нужды отопления, газовыми водонагревателями и газовыми плитами, не оборудованных приборами учета, составит 27078,9 тысяч рублей.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  <w:outlineLvl w:val="3"/>
      </w:pPr>
      <w:r>
        <w:t>1.4. Расчет прогнозируемой платы граждан, проживающих в многоквартирных домах с централизованным холодным и горячим водоснабжением, водоотведением, теплоснабжением на нужды отопления, электрическими плитами, не оборудованных приборами учета</w:t>
      </w:r>
    </w:p>
    <w:p w:rsidR="00D03C6F" w:rsidRDefault="00D03C6F" w:rsidP="00D03C6F">
      <w:pPr>
        <w:pStyle w:val="ConsPlusNormal"/>
        <w:ind w:firstLine="540"/>
        <w:jc w:val="both"/>
      </w:pPr>
      <w:r>
        <w:t>Численность населения в этих домах - 2245 человек, в том числе 45 человек в планируемых к вводу в I квартале 2011 года многоквартирных домах</w:t>
      </w:r>
    </w:p>
    <w:p w:rsidR="00D03C6F" w:rsidRDefault="00D03C6F" w:rsidP="00D03C6F">
      <w:pPr>
        <w:pStyle w:val="ConsPlusNormal"/>
        <w:ind w:firstLine="540"/>
        <w:jc w:val="both"/>
      </w:pPr>
      <w:r>
        <w:t>Общая площадь жилых помещений - 51185 квадратных метров, в том числе 1050 квадратных метра в планируемых к вводу в I квартале 2011 года многоквартирных домах</w:t>
      </w:r>
    </w:p>
    <w:p w:rsidR="00D03C6F" w:rsidRDefault="00D03C6F" w:rsidP="00D03C6F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23"/>
        <w:gridCol w:w="1755"/>
        <w:gridCol w:w="1287"/>
        <w:gridCol w:w="1170"/>
        <w:gridCol w:w="1053"/>
        <w:gridCol w:w="1872"/>
      </w:tblGrid>
      <w:tr w:rsidR="00D03C6F" w:rsidTr="00991C76">
        <w:trPr>
          <w:trHeight w:val="248"/>
        </w:trPr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Виды услуг   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Установленные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нормативы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потребления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коммунальных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 услуг    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Ед.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измерения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Проект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тарифов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Ед. из-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мерения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Прогнозируемая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плата за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коммунальные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 услуги,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тыс. руб.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холодное      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водоснабжение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90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л/чел. в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сутки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20,16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куб. м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1486,8  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горячее       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водоснабжение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105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л/чел. в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сутки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88,91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куб. м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7230,6  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водоотведение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195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л/чел. в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сутки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18,37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куб. м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2935,3  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lastRenderedPageBreak/>
              <w:t xml:space="preserve">отопление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0,17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Гкал/кв.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м в год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1340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Гкал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11659,9 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электроснабжение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130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кВт·ч на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чел. в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месяц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2,4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кВт·ч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8405,3    </w:t>
            </w:r>
          </w:p>
        </w:tc>
      </w:tr>
    </w:tbl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</w:pPr>
      <w:r>
        <w:t>Прогнозируемая на 2011 год плата граждан, проживающих в многоквартирных домах с централизованным холодным и горячим водоснабжением, водоотведением, теплоснабжением на нужды отопления, электрическими плитами, не оборудованных приборами учета, составит 31717,9 тысяч рублей.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  <w:outlineLvl w:val="3"/>
      </w:pPr>
      <w:r>
        <w:t>1.5. Расчет прогнозируемой платы граждан, проживающих в жилых домах с централизованным холодным водоснабжением, водоотведением, теплоснабжением на нужды отопления, газовыми плитами, не оборудованных приборами учета</w:t>
      </w:r>
    </w:p>
    <w:p w:rsidR="00D03C6F" w:rsidRDefault="00D03C6F" w:rsidP="00D03C6F">
      <w:pPr>
        <w:pStyle w:val="ConsPlusNormal"/>
        <w:ind w:firstLine="540"/>
        <w:jc w:val="both"/>
      </w:pPr>
      <w:r>
        <w:t>Численность населения в этих домах - 320 человек</w:t>
      </w:r>
    </w:p>
    <w:p w:rsidR="00D03C6F" w:rsidRDefault="00D03C6F" w:rsidP="00D03C6F">
      <w:pPr>
        <w:pStyle w:val="ConsPlusNormal"/>
        <w:ind w:firstLine="540"/>
        <w:jc w:val="both"/>
      </w:pPr>
      <w:r>
        <w:t>Общая площадь жилых помещений - 8064 квадратных метра</w:t>
      </w:r>
    </w:p>
    <w:p w:rsidR="00D03C6F" w:rsidRDefault="00D03C6F" w:rsidP="00D03C6F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23"/>
        <w:gridCol w:w="1755"/>
        <w:gridCol w:w="1287"/>
        <w:gridCol w:w="1170"/>
        <w:gridCol w:w="1053"/>
        <w:gridCol w:w="1872"/>
      </w:tblGrid>
      <w:tr w:rsidR="00D03C6F" w:rsidTr="00991C76">
        <w:trPr>
          <w:trHeight w:val="248"/>
        </w:trPr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Виды услуг   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Установленные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нормативы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потребления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коммунальных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 услуг    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Ед.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измерения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Проект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тарифов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Ед. из-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мерения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Прогнозируемая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плата за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коммунальные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 услуги,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тыс. руб.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холодное      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водоснабжение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115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л/чел. в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сутки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20,16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куб. м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270,8  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водоотведение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115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л/чел. в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сутки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18,37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куб. м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233,2  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отопление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0,22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Гкал/кв.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м в год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1340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Гкал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34,4   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электроснабжение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70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кВт·ч на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чел. в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месяц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3,2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кВт·ч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1806,3    </w:t>
            </w:r>
          </w:p>
        </w:tc>
      </w:tr>
      <w:tr w:rsidR="00D03C6F" w:rsidTr="00991C76">
        <w:trPr>
          <w:trHeight w:val="248"/>
        </w:trPr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газоснабжение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 7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куб. м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на чел. в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месяц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3,42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руб./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куб. м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91,9     </w:t>
            </w:r>
          </w:p>
        </w:tc>
      </w:tr>
    </w:tbl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</w:pPr>
      <w:r>
        <w:t>Прогнозируемая на 2011 год плата граждан, проживающих в многоквартирных домах с централизованным холодным водоснабжением, водоотведением, теплоснабжением на нужды отопления, газовыми плитами, не оборудованных приборами учета, составит 2436,7 тысяч рублей.</w:t>
      </w:r>
    </w:p>
    <w:p w:rsidR="00D03C6F" w:rsidRDefault="00D03C6F" w:rsidP="00D03C6F">
      <w:pPr>
        <w:pStyle w:val="ConsPlusNormal"/>
        <w:ind w:firstLine="540"/>
        <w:jc w:val="both"/>
      </w:pPr>
      <w:r>
        <w:t>Общая совокупная прогнозируемая плата граждан за все потребляемые услуги составляет:</w:t>
      </w:r>
    </w:p>
    <w:p w:rsidR="00D03C6F" w:rsidRDefault="00D03C6F" w:rsidP="00D03C6F">
      <w:pPr>
        <w:pStyle w:val="ConsPlusNormal"/>
        <w:ind w:firstLine="540"/>
        <w:jc w:val="both"/>
      </w:pPr>
      <w:r>
        <w:t>23586,2 + 57241,1 + 27078,9 + 31717,9 + 2436,7 = 142060,8 тысяч рублей.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  <w:outlineLvl w:val="2"/>
      </w:pPr>
      <w:r>
        <w:t>2. Определение критериев доступности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  <w:outlineLvl w:val="3"/>
      </w:pPr>
      <w:r>
        <w:t xml:space="preserve">2.1. Доля расходов на коммунальные услуги в совокупном доходе средней семьи определяется по формуле, приведенной в </w:t>
      </w:r>
      <w:r>
        <w:rPr/>
        <w:t>п. 21.3</w:t>
      </w:r>
      <w:r>
        <w:t xml:space="preserve"> Методических указаний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>
            <wp:extent cx="20002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 142060800 руб. / (12022 чел. x 12 мес. x 14500 тыс. руб.) x 100 = 6,8%.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</w:pPr>
      <w:r>
        <w:t>Данный критерий соответствует высокому уровню доступности (</w:t>
      </w:r>
      <w:r>
        <w:rPr/>
        <w:t>приложение N 2</w:t>
      </w:r>
      <w:r>
        <w:t xml:space="preserve"> настоящих Методических указаний).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  <w:outlineLvl w:val="3"/>
      </w:pPr>
      <w:r>
        <w:t>2.2. Доля населения с доходами ниже прожиточного минимума</w:t>
      </w:r>
    </w:p>
    <w:p w:rsidR="00D03C6F" w:rsidRDefault="00D03C6F" w:rsidP="00D03C6F">
      <w:pPr>
        <w:pStyle w:val="ConsPlusNormal"/>
        <w:ind w:firstLine="540"/>
        <w:jc w:val="both"/>
      </w:pPr>
      <w:r>
        <w:lastRenderedPageBreak/>
        <w:t>1300 / 12022 x 100 = 10,8%.</w:t>
      </w:r>
    </w:p>
    <w:p w:rsidR="00D03C6F" w:rsidRDefault="00D03C6F" w:rsidP="00D03C6F">
      <w:pPr>
        <w:pStyle w:val="ConsPlusNormal"/>
        <w:ind w:firstLine="540"/>
        <w:jc w:val="both"/>
      </w:pPr>
      <w:r>
        <w:t>Данный критерий соответствует уровню доступности (</w:t>
      </w:r>
      <w:r>
        <w:rPr/>
        <w:t>приложение N 2</w:t>
      </w:r>
      <w:r>
        <w:t xml:space="preserve"> настоящих Методических указаний).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  <w:outlineLvl w:val="3"/>
      </w:pPr>
      <w:r>
        <w:t xml:space="preserve">2.3. Уровень собираемости платежей за коммунальные услуги рассчитывается в соответствии с </w:t>
      </w:r>
      <w:r>
        <w:rPr/>
        <w:t>пунктом 22</w:t>
      </w:r>
      <w:r>
        <w:t xml:space="preserve"> настоящих Методических указаний.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jc w:val="center"/>
        <w:outlineLvl w:val="4"/>
      </w:pPr>
      <w:r>
        <w:t>Рис. 1. Зависимость уровня собираемости платы</w:t>
      </w:r>
    </w:p>
    <w:p w:rsidR="00D03C6F" w:rsidRDefault="00D03C6F" w:rsidP="00D03C6F">
      <w:pPr>
        <w:pStyle w:val="ConsPlusNormal"/>
        <w:jc w:val="center"/>
      </w:pPr>
      <w:r>
        <w:t>за коммунальные услуги от доли расходов на коммунальные</w:t>
      </w:r>
    </w:p>
    <w:p w:rsidR="00D03C6F" w:rsidRDefault="00D03C6F" w:rsidP="00D03C6F">
      <w:pPr>
        <w:pStyle w:val="ConsPlusNormal"/>
        <w:jc w:val="center"/>
      </w:pPr>
      <w:r>
        <w:t>услуги в совокупном доходе семьи (не приводится)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</w:pPr>
      <w:r>
        <w:t>При прогнозируемом уровне доли расходов населения за коммунальные услуги в совокупном доходе семьи 6,8% уровень собираемости платежей не может быть ниже 88%, что соответствует критерию доступности (</w:t>
      </w:r>
      <w:r>
        <w:rPr/>
        <w:t>приложение N 2</w:t>
      </w:r>
      <w:r>
        <w:t xml:space="preserve"> настоящих Методических указаний).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  <w:outlineLvl w:val="3"/>
      </w:pPr>
      <w:r>
        <w:t>2.4. Доля получателей субсидий на оплату коммунальных услуг в общей численности населения</w:t>
      </w:r>
    </w:p>
    <w:p w:rsidR="00D03C6F" w:rsidRDefault="00D03C6F" w:rsidP="00D03C6F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06"/>
        <w:gridCol w:w="1287"/>
        <w:gridCol w:w="1989"/>
        <w:gridCol w:w="1404"/>
        <w:gridCol w:w="1404"/>
        <w:gridCol w:w="1170"/>
      </w:tblGrid>
      <w:tr w:rsidR="00D03C6F" w:rsidTr="00991C76">
        <w:trPr>
          <w:trHeight w:val="248"/>
        </w:trPr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Доходные группы,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тыс. руб. на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человека в месяц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Числен-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ность 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населения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в группе,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чел.    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Максимально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допустимая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доля расходов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граждан на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оплату жилищно-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коммунальных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 услуг,  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установленная в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  МО, % 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Предельная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  доля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расходов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семьи </w:t>
            </w:r>
            <w:r>
              <w:rPr/>
              <w:t>&lt;*&gt;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на оплату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ЖКУ, руб.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 в месяц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Прогнози-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руемая 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плата  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за ЖКУ 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на семью,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руб./месяц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Число 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семей, 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нуждаю-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щихся в 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>субсиди-</w:t>
            </w:r>
          </w:p>
          <w:p w:rsidR="00D03C6F" w:rsidRDefault="00D03C6F" w:rsidP="00991C76">
            <w:pPr>
              <w:pStyle w:val="ConsPlusNonformat"/>
              <w:jc w:val="both"/>
            </w:pPr>
            <w:r>
              <w:t xml:space="preserve">ях      </w:t>
            </w:r>
          </w:p>
        </w:tc>
      </w:tr>
      <w:tr w:rsidR="00D03C6F" w:rsidTr="00991C76">
        <w:trPr>
          <w:trHeight w:val="248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до 6 100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1300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8 </w:t>
            </w:r>
            <w:r>
              <w:rPr/>
              <w:t>&lt;**&gt;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1098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3752 </w:t>
            </w:r>
            <w:r>
              <w:rPr/>
              <w:t>&lt;***&gt;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430  </w:t>
            </w:r>
          </w:p>
        </w:tc>
      </w:tr>
      <w:tr w:rsidR="00D03C6F" w:rsidTr="00991C76">
        <w:trPr>
          <w:trHeight w:val="248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>от 6 101 - 8 000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450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 15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3150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3752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150  </w:t>
            </w:r>
          </w:p>
        </w:tc>
      </w:tr>
      <w:tr w:rsidR="00D03C6F" w:rsidTr="00991C76">
        <w:trPr>
          <w:trHeight w:val="248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8 001 - 10 000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850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 15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4050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3752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-   </w:t>
            </w:r>
          </w:p>
        </w:tc>
      </w:tr>
      <w:tr w:rsidR="00D03C6F" w:rsidTr="00991C76">
        <w:trPr>
          <w:trHeight w:val="248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 ...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...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 ...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...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3752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...  </w:t>
            </w:r>
          </w:p>
        </w:tc>
      </w:tr>
      <w:tr w:rsidR="00D03C6F" w:rsidTr="00991C76">
        <w:trPr>
          <w:trHeight w:val="248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Итого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12022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  15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 X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3752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3C6F" w:rsidRDefault="00D03C6F" w:rsidP="00991C76">
            <w:pPr>
              <w:pStyle w:val="ConsPlusNonformat"/>
              <w:jc w:val="both"/>
            </w:pPr>
            <w:r>
              <w:t xml:space="preserve">   580  </w:t>
            </w:r>
          </w:p>
        </w:tc>
      </w:tr>
    </w:tbl>
    <w:p w:rsidR="00D03C6F" w:rsidRDefault="00D03C6F" w:rsidP="00D03C6F">
      <w:pPr>
        <w:pStyle w:val="ConsPlusNormal"/>
        <w:jc w:val="both"/>
      </w:pPr>
    </w:p>
    <w:p w:rsidR="00D03C6F" w:rsidRDefault="00D03C6F" w:rsidP="00D03C6F">
      <w:pPr>
        <w:pStyle w:val="ConsPlusNormal"/>
        <w:ind w:firstLine="540"/>
        <w:jc w:val="both"/>
      </w:pPr>
      <w:r>
        <w:t>--------------------------------</w:t>
      </w:r>
    </w:p>
    <w:p w:rsidR="00D03C6F" w:rsidRDefault="00D03C6F" w:rsidP="00D03C6F">
      <w:pPr>
        <w:pStyle w:val="ConsPlusNormal"/>
        <w:ind w:firstLine="540"/>
        <w:jc w:val="both"/>
      </w:pPr>
      <w:bookmarkStart w:id="2" w:name="Par644"/>
      <w:bookmarkEnd w:id="2"/>
      <w:r>
        <w:t>&lt;*&gt; Коэффициент семейности по МО - 3.</w:t>
      </w:r>
    </w:p>
    <w:p w:rsidR="00D03C6F" w:rsidRDefault="00D03C6F" w:rsidP="00D03C6F">
      <w:pPr>
        <w:pStyle w:val="ConsPlusNormal"/>
        <w:ind w:firstLine="540"/>
        <w:jc w:val="both"/>
      </w:pPr>
      <w:bookmarkStart w:id="3" w:name="Par645"/>
      <w:bookmarkEnd w:id="3"/>
      <w:r>
        <w:t>&lt;**&gt; С учетом поправочных коэффициентов для граждан с доходами ниже прожиточного минимума.</w:t>
      </w:r>
    </w:p>
    <w:p w:rsidR="00D03C6F" w:rsidRDefault="00D03C6F" w:rsidP="00D03C6F">
      <w:pPr>
        <w:pStyle w:val="ConsPlusNormal"/>
        <w:ind w:firstLine="540"/>
        <w:jc w:val="both"/>
      </w:pPr>
      <w:bookmarkStart w:id="4" w:name="Par646"/>
      <w:bookmarkEnd w:id="4"/>
      <w:r>
        <w:t>&lt;***&gt; В том числе плата за коммунальные услуги в расчете на среднюю семью составляет 2954 рубля в месяц.</w:t>
      </w:r>
    </w:p>
    <w:p w:rsidR="00D03C6F" w:rsidRDefault="00D03C6F" w:rsidP="00D03C6F">
      <w:pPr>
        <w:pStyle w:val="ConsPlusNormal"/>
        <w:ind w:firstLine="540"/>
        <w:jc w:val="both"/>
      </w:pPr>
    </w:p>
    <w:p w:rsidR="00D03C6F" w:rsidRDefault="00D03C6F" w:rsidP="00D03C6F">
      <w:pPr>
        <w:pStyle w:val="ConsPlusNormal"/>
        <w:ind w:firstLine="540"/>
        <w:jc w:val="both"/>
      </w:pPr>
      <w:r>
        <w:t>В данном примере не рассчитывается сумма средств, необходимая для предоставления субсидий, поскольку она не является предметом оценки доступности.</w:t>
      </w:r>
    </w:p>
    <w:p w:rsidR="00D03C6F" w:rsidRDefault="00D03C6F" w:rsidP="00D03C6F">
      <w:pPr>
        <w:pStyle w:val="ConsPlusNormal"/>
        <w:ind w:firstLine="540"/>
        <w:jc w:val="both"/>
      </w:pPr>
      <w:r>
        <w:t>Прогнозируемая доля получателей субсидий на оплату коммунальных услуг в общей численности населения составит 14,6% (580 x 3 / 12022 x 100).</w:t>
      </w:r>
    </w:p>
    <w:p w:rsidR="00D03C6F" w:rsidRDefault="00D03C6F" w:rsidP="00D03C6F">
      <w:pPr>
        <w:pStyle w:val="ConsPlusNormal"/>
        <w:ind w:firstLine="540"/>
        <w:jc w:val="both"/>
      </w:pPr>
      <w:r>
        <w:t>Вывод: Субъект Российской Федерации устанавливает для МО на 2011 год предельный индекс изменения размера платы граждан за коммунальные услуги в размере 1,18, как соответствующий критериям доступности.</w:t>
      </w:r>
    </w:p>
    <w:p w:rsidR="00D03C6F" w:rsidRDefault="00D03C6F" w:rsidP="00D03C6F">
      <w:pPr>
        <w:pStyle w:val="ConsPlusNormal"/>
        <w:ind w:firstLine="540"/>
        <w:jc w:val="both"/>
      </w:pPr>
    </w:p>
    <w:p w:rsidR="0061169F" w:rsidRDefault="0061169F"/>
    <w:sectPr w:rsidR="0061169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6F"/>
    <w:rsid w:val="0061169F"/>
    <w:rsid w:val="00D0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C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03C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C6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C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03C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C6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2426</Words>
  <Characters>13833</Characters>
  <Application>Microsoft Office Word</Application>
  <DocSecurity>0</DocSecurity>
  <Lines>115</Lines>
  <Paragraphs>32</Paragraphs>
  <ScaleCrop>false</ScaleCrop>
  <Company/>
  <LinksUpToDate>false</LinksUpToDate>
  <CharactersWithSpaces>16227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2016-11-09T17:51:00Z</dcterms:created>
  <dcterms:modified xsi:type="dcterms:W3CDTF">2016-11-09T17:52:00Z</dcterms:modified>
</cp:coreProperties>
</file>